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74257BB7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German</w:t>
      </w:r>
    </w:p>
    <w:p w14:paraId="653998EA" w14:textId="19D4E51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992D9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207B5FF0" w:rsidR="00707C38" w:rsidRPr="00BD0CA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 w:colFirst="2" w:colLast="2"/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proofErr w:type="spellStart"/>
            <w:r w:rsidR="00992D93"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Rund</w:t>
            </w:r>
            <w:proofErr w:type="spellEnd"/>
            <w:r w:rsidR="00992D93"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um die Arbeit</w:t>
            </w:r>
          </w:p>
          <w:p w14:paraId="381C49C3" w14:textId="77777777" w:rsidR="00BD0CAB" w:rsidRPr="00BD0CAB" w:rsidRDefault="00BD0CAB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4B79ABBD" w:rsidR="00707C38" w:rsidRPr="00BD0CA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02CDBD45" w14:textId="77777777" w:rsidR="00992D93" w:rsidRPr="00BD0CAB" w:rsidRDefault="00D667C8" w:rsidP="00992D93">
            <w:pPr>
              <w:rPr>
                <w:rFonts w:ascii="Candara" w:eastAsia="Times New Roman" w:hAnsi="Candara" w:cs="Times New Roman"/>
                <w:sz w:val="24"/>
                <w:szCs w:val="24"/>
                <w:lang w:val="de-DE" w:eastAsia="en-GB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Content</w:t>
            </w:r>
            <w:r w:rsidRPr="00BD0CAB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  <w:r w:rsidR="00992D93" w:rsidRPr="00BD0CAB">
              <w:rPr>
                <w:rFonts w:ascii="Candara" w:eastAsia="Times New Roman" w:hAnsi="Candara" w:cs="Times New Roman"/>
                <w:sz w:val="24"/>
                <w:szCs w:val="24"/>
                <w:lang w:val="de-DE" w:eastAsia="en-GB"/>
              </w:rPr>
              <w:t xml:space="preserve">talking about jobs/ advantages/disadvantages/ work experience/ job applications/ CV/ work routine/ the importance of languages at work and in the world. </w:t>
            </w:r>
          </w:p>
          <w:p w14:paraId="15BE5ED5" w14:textId="2EDE10F5" w:rsidR="00D667C8" w:rsidRPr="00BD0CAB" w:rsidRDefault="00D667C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487DA011" w14:textId="77777777" w:rsidR="007166AA" w:rsidRPr="00BD0CAB" w:rsidRDefault="007166AA" w:rsidP="00707C38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68ADC0CE" w14:textId="5D720C2A" w:rsidR="00707C38" w:rsidRPr="00BD0CA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6094872" w14:textId="0124E4C7" w:rsidR="00D667C8" w:rsidRPr="00BD0CAB" w:rsidRDefault="00D667C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Grammar</w:t>
            </w:r>
            <w:r w:rsidRPr="00BD0CAB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</w:p>
          <w:p w14:paraId="6107306B" w14:textId="77777777" w:rsidR="00992D93" w:rsidRPr="00BD0CAB" w:rsidRDefault="00992D93" w:rsidP="00992D93">
            <w:pPr>
              <w:rPr>
                <w:rFonts w:ascii="Candara" w:eastAsia="Times New Roman" w:hAnsi="Candara" w:cs="Times New Roman"/>
                <w:sz w:val="24"/>
                <w:szCs w:val="24"/>
                <w:lang w:val="de-DE" w:eastAsia="en-GB"/>
              </w:rPr>
            </w:pPr>
            <w:r w:rsidRPr="00BD0CAB">
              <w:rPr>
                <w:rFonts w:ascii="Candara" w:eastAsia="Times New Roman" w:hAnsi="Candara" w:cs="Times New Roman"/>
                <w:sz w:val="24"/>
                <w:szCs w:val="24"/>
                <w:lang w:val="de-DE" w:eastAsia="en-GB"/>
              </w:rPr>
              <w:t>All tenses/question words/ adjective endings/ um...zu  FOCERS</w:t>
            </w:r>
          </w:p>
          <w:p w14:paraId="7F695FAF" w14:textId="6BD96EBB" w:rsidR="00992D93" w:rsidRPr="00BD0CAB" w:rsidRDefault="00992D93" w:rsidP="00992D93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BD0CAB">
              <w:rPr>
                <w:rFonts w:ascii="Candara" w:eastAsia="Times New Roman" w:hAnsi="Candara" w:cs="Times New Roman"/>
                <w:sz w:val="24"/>
                <w:szCs w:val="24"/>
                <w:lang w:val="de-DE" w:eastAsia="en-GB"/>
              </w:rPr>
              <w:t>High frequency words.</w:t>
            </w:r>
          </w:p>
          <w:p w14:paraId="112FA13B" w14:textId="77777777" w:rsidR="00D667C8" w:rsidRPr="00BD0CAB" w:rsidRDefault="00D667C8" w:rsidP="00D667C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14:paraId="6B4908F5" w14:textId="77777777" w:rsidR="00D667C8" w:rsidRPr="00BD0CAB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14:paraId="6BE98581" w14:textId="1B0BDDB1" w:rsidR="00D667C8" w:rsidRPr="00BD0CAB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 xml:space="preserve">Take part in a conversation and describe </w:t>
            </w:r>
            <w:r w:rsidR="00992D93" w:rsidRPr="00BD0CAB">
              <w:rPr>
                <w:rFonts w:ascii="Candara" w:hAnsi="Candara"/>
                <w:sz w:val="24"/>
                <w:szCs w:val="24"/>
              </w:rPr>
              <w:t xml:space="preserve">photos, </w:t>
            </w:r>
            <w:r w:rsidRPr="00BD0CAB">
              <w:rPr>
                <w:rFonts w:ascii="Candara" w:hAnsi="Candara"/>
                <w:sz w:val="24"/>
                <w:szCs w:val="24"/>
              </w:rPr>
              <w:t>situations and events.</w:t>
            </w:r>
          </w:p>
          <w:p w14:paraId="78B39248" w14:textId="77777777" w:rsidR="00D667C8" w:rsidRPr="00BD0CAB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14:paraId="1BFFCE11" w14:textId="6C436494" w:rsidR="00D667C8" w:rsidRPr="00BD0CAB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Accurately spelling and an understanding of accents</w:t>
            </w:r>
            <w:r w:rsidR="00992D93" w:rsidRPr="00BD0CAB">
              <w:rPr>
                <w:rFonts w:ascii="Candara" w:hAnsi="Candara"/>
                <w:sz w:val="24"/>
                <w:szCs w:val="24"/>
              </w:rPr>
              <w:t xml:space="preserve"> in order to improve longer prose.</w:t>
            </w:r>
          </w:p>
          <w:p w14:paraId="3F912A08" w14:textId="77777777" w:rsidR="00D667C8" w:rsidRPr="00BD0CAB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14:paraId="3F06562A" w14:textId="6868D0BE" w:rsidR="00D667C8" w:rsidRPr="00BD0CAB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Understand spoken language</w:t>
            </w:r>
            <w:r w:rsidR="00992D93" w:rsidRPr="00BD0CAB">
              <w:rPr>
                <w:rFonts w:ascii="Candara" w:hAnsi="Candara"/>
                <w:sz w:val="24"/>
                <w:szCs w:val="24"/>
              </w:rPr>
              <w:t xml:space="preserve"> in longer dialogues.</w:t>
            </w:r>
            <w:r w:rsidRPr="00BD0CAB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71245A41" w14:textId="77777777" w:rsidR="00D667C8" w:rsidRPr="00BD0CAB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14:paraId="1AA75704" w14:textId="77777777" w:rsidR="00D667C8" w:rsidRPr="00BD0CAB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14:paraId="7B498969" w14:textId="469C5E00" w:rsidR="00D667C8" w:rsidRPr="00BD0CAB" w:rsidRDefault="00D667C8" w:rsidP="00D66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Understanding the gist of passages.</w:t>
            </w:r>
            <w:r w:rsidR="00992D93" w:rsidRPr="00BD0CAB">
              <w:rPr>
                <w:rFonts w:ascii="Candara" w:hAnsi="Candara"/>
                <w:sz w:val="24"/>
                <w:szCs w:val="24"/>
              </w:rPr>
              <w:t xml:space="preserve"> Re-reading for detail.</w:t>
            </w:r>
          </w:p>
          <w:p w14:paraId="54C1DE87" w14:textId="77777777" w:rsidR="007166AA" w:rsidRPr="00BD0CAB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BD0CAB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BD0CAB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Pr="00BD0CAB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BD0CAB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7A161B0" w14:textId="77777777" w:rsidR="00707C38" w:rsidRPr="00BD0CAB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De-coding new vocabulary</w:t>
            </w:r>
          </w:p>
          <w:p w14:paraId="2CF19A53" w14:textId="77777777" w:rsidR="00992D93" w:rsidRPr="00BD0CAB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Reading for gist</w:t>
            </w:r>
          </w:p>
          <w:p w14:paraId="057F98F8" w14:textId="77777777" w:rsidR="00992D93" w:rsidRPr="00BD0CAB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Reading for detail</w:t>
            </w:r>
          </w:p>
          <w:p w14:paraId="41176D54" w14:textId="77777777" w:rsidR="00992D93" w:rsidRPr="00BD0CAB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14:paraId="01CF9184" w14:textId="1AE99369" w:rsidR="00992D93" w:rsidRPr="00BD0CAB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Looking at how formal documents are created such as CVs, letters of application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BD0CA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5288E07" w14:textId="77777777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Present tense</w:t>
            </w:r>
          </w:p>
          <w:p w14:paraId="7FDD5BEF" w14:textId="77777777" w:rsidR="00D667C8" w:rsidRPr="00BD0CAB" w:rsidRDefault="00D667C8" w:rsidP="00D667C8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/>
              </w:rPr>
              <w:t xml:space="preserve"> </w:t>
            </w:r>
            <w:r w:rsidRPr="00BD0CAB">
              <w:rPr>
                <w:rFonts w:ascii="Candara" w:hAnsi="Candara" w:cstheme="minorHAnsi"/>
              </w:rPr>
              <w:t>Past participles</w:t>
            </w:r>
          </w:p>
          <w:p w14:paraId="6A1CE545" w14:textId="77777777" w:rsidR="00D667C8" w:rsidRPr="00BD0CAB" w:rsidRDefault="00D667C8" w:rsidP="00D667C8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>Perfect</w:t>
            </w:r>
          </w:p>
          <w:p w14:paraId="7194753C" w14:textId="77777777" w:rsidR="00D667C8" w:rsidRPr="00BD0CAB" w:rsidRDefault="00D667C8" w:rsidP="00D667C8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>Imperfect</w:t>
            </w:r>
          </w:p>
          <w:p w14:paraId="67627196" w14:textId="7221EF2F" w:rsidR="00D667C8" w:rsidRPr="00BD0CAB" w:rsidRDefault="00D667C8" w:rsidP="00D667C8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 xml:space="preserve">Questions in </w:t>
            </w:r>
            <w:r w:rsidR="00992D93" w:rsidRPr="00BD0CAB">
              <w:rPr>
                <w:rFonts w:ascii="Candara" w:hAnsi="Candara" w:cstheme="minorHAnsi"/>
              </w:rPr>
              <w:t>different tenses</w:t>
            </w:r>
          </w:p>
          <w:p w14:paraId="46AC6BD2" w14:textId="77777777" w:rsidR="00D667C8" w:rsidRPr="00BD0CAB" w:rsidRDefault="00D667C8" w:rsidP="00D667C8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>Modal verbs</w:t>
            </w:r>
          </w:p>
          <w:p w14:paraId="5FB13972" w14:textId="77777777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Nouns</w:t>
            </w:r>
          </w:p>
          <w:p w14:paraId="2CF5A24E" w14:textId="1AE1DD88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Articles</w:t>
            </w:r>
          </w:p>
          <w:p w14:paraId="65FC5CD5" w14:textId="65A47472" w:rsidR="00992D93" w:rsidRPr="00BD0CAB" w:rsidRDefault="00992D93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Gender</w:t>
            </w:r>
          </w:p>
          <w:p w14:paraId="2D75EE64" w14:textId="6F65872B" w:rsidR="00992D93" w:rsidRPr="00BD0CAB" w:rsidRDefault="00992D93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Case endings</w:t>
            </w:r>
          </w:p>
          <w:p w14:paraId="666066A5" w14:textId="77777777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Adverbs of frequency</w:t>
            </w:r>
          </w:p>
          <w:p w14:paraId="1B4EBFC1" w14:textId="77777777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Plural nouns</w:t>
            </w:r>
          </w:p>
          <w:p w14:paraId="371F1399" w14:textId="24FF8225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 xml:space="preserve">Conditional </w:t>
            </w:r>
          </w:p>
          <w:p w14:paraId="7930934A" w14:textId="0EAD8955" w:rsidR="00992D93" w:rsidRPr="00BD0CAB" w:rsidRDefault="00992D93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Idioms</w:t>
            </w:r>
          </w:p>
          <w:p w14:paraId="6A8308EF" w14:textId="3D361A20" w:rsidR="00992D93" w:rsidRPr="00BD0CAB" w:rsidRDefault="00992D93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Conjunctions</w:t>
            </w:r>
          </w:p>
          <w:p w14:paraId="719BC841" w14:textId="618439AC" w:rsidR="00992D93" w:rsidRPr="00BD0CAB" w:rsidRDefault="00992D93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intensifiers</w:t>
            </w:r>
          </w:p>
          <w:p w14:paraId="3E3FAF2C" w14:textId="77777777" w:rsidR="00D667C8" w:rsidRPr="00BD0CAB" w:rsidRDefault="00D667C8" w:rsidP="00D667C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(see pupil vocab list)</w:t>
            </w:r>
          </w:p>
          <w:p w14:paraId="4921D8A2" w14:textId="38E004E5" w:rsidR="007166AA" w:rsidRPr="00BD0CAB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</w:p>
          <w:p w14:paraId="06B04D24" w14:textId="77777777" w:rsidR="00707C38" w:rsidRPr="00BD0CAB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BD0CA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BD0CAB" w:rsidRDefault="007166AA" w:rsidP="007166AA">
            <w:pPr>
              <w:rPr>
                <w:rFonts w:ascii="Candara" w:eastAsia="Calibri" w:hAnsi="Candara" w:cs="Times New Roman"/>
              </w:rPr>
            </w:pPr>
            <w:r w:rsidRPr="00BD0CAB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BD0CAB" w:rsidRDefault="007166AA" w:rsidP="007166AA">
            <w:pPr>
              <w:rPr>
                <w:rFonts w:ascii="Candara" w:eastAsia="Calibri" w:hAnsi="Candara" w:cs="Times New Roman"/>
              </w:rPr>
            </w:pPr>
            <w:r w:rsidRPr="00BD0CAB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4417A93E" w:rsidR="007166AA" w:rsidRPr="00BD0CAB" w:rsidRDefault="007166AA" w:rsidP="007166AA">
            <w:pPr>
              <w:rPr>
                <w:rFonts w:ascii="Candara" w:eastAsia="Calibri" w:hAnsi="Candara" w:cs="Times New Roman"/>
              </w:rPr>
            </w:pPr>
            <w:r w:rsidRPr="00BD0CAB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BD0CAB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BD0CAB">
              <w:rPr>
                <w:rFonts w:ascii="Candara" w:eastAsia="Calibri" w:hAnsi="Candara" w:cs="Times New Roman"/>
              </w:rPr>
              <w:t xml:space="preserve"> </w:t>
            </w:r>
            <w:r w:rsidR="00D667C8" w:rsidRPr="00BD0CAB">
              <w:rPr>
                <w:rFonts w:ascii="Candara" w:eastAsia="Calibri" w:hAnsi="Candara" w:cs="Times New Roman"/>
              </w:rPr>
              <w:t>conversation</w:t>
            </w:r>
            <w:r w:rsidR="00992D93" w:rsidRPr="00BD0CAB">
              <w:rPr>
                <w:rFonts w:ascii="Candara" w:eastAsia="Calibri" w:hAnsi="Candara" w:cs="Times New Roman"/>
              </w:rPr>
              <w:t>, photo and role play</w:t>
            </w:r>
          </w:p>
          <w:p w14:paraId="68D30556" w14:textId="77777777" w:rsidR="007166AA" w:rsidRPr="00BD0CAB" w:rsidRDefault="007166AA" w:rsidP="007166AA">
            <w:pPr>
              <w:rPr>
                <w:rFonts w:ascii="Candara" w:eastAsia="Calibri" w:hAnsi="Candara" w:cs="Times New Roman"/>
              </w:rPr>
            </w:pPr>
            <w:r w:rsidRPr="00BD0CAB">
              <w:rPr>
                <w:rFonts w:ascii="Candara" w:eastAsia="Calibri" w:hAnsi="Candara" w:cs="Times New Roman"/>
              </w:rPr>
              <w:t>Summative assessment</w:t>
            </w:r>
          </w:p>
          <w:p w14:paraId="02809175" w14:textId="77777777" w:rsidR="007166AA" w:rsidRPr="00BD0CAB" w:rsidRDefault="007166AA" w:rsidP="007166AA">
            <w:pPr>
              <w:rPr>
                <w:rFonts w:ascii="Candara" w:eastAsia="Calibri" w:hAnsi="Candara" w:cs="Times New Roman"/>
              </w:rPr>
            </w:pPr>
          </w:p>
          <w:p w14:paraId="715AE291" w14:textId="243E8C2D" w:rsidR="00707C38" w:rsidRPr="00BD0CAB" w:rsidRDefault="007166AA" w:rsidP="007166AA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eastAsia="Calibri" w:hAnsi="Candara" w:cs="Times New Roman"/>
              </w:rPr>
              <w:t>Writing assessment – write a</w:t>
            </w:r>
            <w:r w:rsidR="00992D93" w:rsidRPr="00BD0CAB">
              <w:rPr>
                <w:rFonts w:ascii="Candara" w:eastAsia="Calibri" w:hAnsi="Candara" w:cs="Times New Roman"/>
              </w:rPr>
              <w:t>bout future plans and compare to past experiences.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BD0CA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BD0CAB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BD0CAB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Quizizz.com</w:t>
            </w:r>
          </w:p>
          <w:p w14:paraId="3CAC3DA2" w14:textId="16F6F11E" w:rsidR="007166AA" w:rsidRPr="00BD0CAB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707C38"/>
    <w:rsid w:val="007166AA"/>
    <w:rsid w:val="00992D93"/>
    <w:rsid w:val="009B1B41"/>
    <w:rsid w:val="00BD0CAB"/>
    <w:rsid w:val="00D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e86b6a6-ef4c-43ea-a746-c158c107f66d"/>
    <ds:schemaRef ds:uri="http://purl.org/dc/dcmitype/"/>
    <ds:schemaRef ds:uri="http://schemas.microsoft.com/office/infopath/2007/PartnerControls"/>
    <ds:schemaRef ds:uri="33d306e6-140f-4728-9df4-6ed6ddccb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3</cp:revision>
  <dcterms:created xsi:type="dcterms:W3CDTF">2022-07-12T08:53:00Z</dcterms:created>
  <dcterms:modified xsi:type="dcterms:W3CDTF">2022-07-28T18:48:00Z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