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E30DFCD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P</w:t>
      </w:r>
      <w:r w:rsidR="004673CC">
        <w:rPr>
          <w:rFonts w:ascii="Candara" w:hAnsi="Candara"/>
          <w:b/>
          <w:noProof/>
          <w:color w:val="C00000"/>
          <w:sz w:val="28"/>
          <w:szCs w:val="28"/>
          <w:u w:val="single"/>
        </w:rPr>
        <w:t>ersonal Development</w:t>
      </w:r>
    </w:p>
    <w:p w14:paraId="653998EA" w14:textId="4F99C4FE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965AE9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26775F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:rsidRPr="00DF6BF3" w14:paraId="130E1972" w14:textId="77777777" w:rsidTr="00EE7017">
        <w:trPr>
          <w:trHeight w:val="1482"/>
        </w:trPr>
        <w:tc>
          <w:tcPr>
            <w:tcW w:w="4545" w:type="dxa"/>
            <w:vMerge w:val="restart"/>
          </w:tcPr>
          <w:p w14:paraId="034847E6" w14:textId="68060242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DF6BF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1A3B6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My Next Steps and Resilience &amp; Readiness</w:t>
            </w:r>
          </w:p>
          <w:p w14:paraId="3D0DA099" w14:textId="77777777" w:rsidR="00F05E41" w:rsidRPr="00DF6BF3" w:rsidRDefault="00F05E41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DF6BF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6F4BED52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Post-16 options</w:t>
            </w:r>
          </w:p>
          <w:p w14:paraId="0903C921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Differences between post-16 options</w:t>
            </w:r>
          </w:p>
          <w:p w14:paraId="5010D95B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Influences on the decision making for post-16 options</w:t>
            </w:r>
          </w:p>
          <w:p w14:paraId="6F867EBE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Process of decision making and transition to post-16</w:t>
            </w:r>
          </w:p>
          <w:p w14:paraId="1BA29E5C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Key skills required for the 21</w:t>
            </w:r>
            <w:r w:rsidRPr="001A3B62">
              <w:rPr>
                <w:rFonts w:ascii="Candara" w:hAnsi="Candara" w:cs="Arial"/>
                <w:vertAlign w:val="superscript"/>
              </w:rPr>
              <w:t>st</w:t>
            </w:r>
            <w:r>
              <w:rPr>
                <w:rFonts w:ascii="Candara" w:hAnsi="Candara" w:cs="Arial"/>
              </w:rPr>
              <w:t xml:space="preserve"> century job market</w:t>
            </w:r>
          </w:p>
          <w:p w14:paraId="703C0246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Potential effects of changes in the labour market</w:t>
            </w:r>
          </w:p>
          <w:p w14:paraId="1AB7D22A" w14:textId="532CF594" w:rsidR="00965AE9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Future job trends effects</w:t>
            </w:r>
            <w:r w:rsidR="0026775F" w:rsidRPr="00DF6BF3">
              <w:rPr>
                <w:rFonts w:ascii="Candara" w:hAnsi="Candara" w:cs="Arial"/>
              </w:rPr>
              <w:t xml:space="preserve"> </w:t>
            </w:r>
          </w:p>
          <w:p w14:paraId="7ED6017C" w14:textId="3F856F05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is a CV</w:t>
            </w:r>
          </w:p>
          <w:p w14:paraId="7D00DEDD" w14:textId="420BBE62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makes a poor and excellent CV</w:t>
            </w:r>
          </w:p>
          <w:p w14:paraId="57938D44" w14:textId="3CE3AB2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are employers looking for in a CV</w:t>
            </w:r>
          </w:p>
          <w:p w14:paraId="0529BCEE" w14:textId="465CDB2B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How to effectively prepare for an interview</w:t>
            </w:r>
          </w:p>
          <w:p w14:paraId="7350EA1E" w14:textId="6E9FEB21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Why are some people selected over others for an interview or job</w:t>
            </w:r>
          </w:p>
          <w:p w14:paraId="080C3924" w14:textId="263BD524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are employability skills</w:t>
            </w:r>
          </w:p>
          <w:p w14:paraId="606C914E" w14:textId="2653B28E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Common causes of stress</w:t>
            </w:r>
          </w:p>
          <w:p w14:paraId="73F5BF35" w14:textId="6D49AFDC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Biological basis of stress</w:t>
            </w:r>
          </w:p>
          <w:p w14:paraId="3EEC74F2" w14:textId="131A81AF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Usefulness of stress management strategies</w:t>
            </w:r>
          </w:p>
          <w:p w14:paraId="7AEDDA3B" w14:textId="57CA5B76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Common causes of disappointment</w:t>
            </w:r>
          </w:p>
          <w:p w14:paraId="09239935" w14:textId="11B4F7B6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Potential responses to disappointing situations</w:t>
            </w:r>
          </w:p>
          <w:p w14:paraId="668FB916" w14:textId="3723430F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advice to give when managing disappointment</w:t>
            </w:r>
          </w:p>
          <w:p w14:paraId="5ED06772" w14:textId="32D3D3B8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How external factors can affect exam performance</w:t>
            </w:r>
          </w:p>
          <w:p w14:paraId="036E1B2E" w14:textId="60E3686D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How to create a personalised time management plan</w:t>
            </w:r>
          </w:p>
          <w:p w14:paraId="0F2A1842" w14:textId="30BDFBDD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Stress and anxiety management strategies</w:t>
            </w:r>
          </w:p>
          <w:p w14:paraId="7E0FD2AE" w14:textId="77777777" w:rsidR="001A3B62" w:rsidRPr="001A3B62" w:rsidRDefault="001A3B62" w:rsidP="00707C38">
            <w:pPr>
              <w:rPr>
                <w:rFonts w:ascii="Candara" w:hAnsi="Candara" w:cs="Arial"/>
              </w:rPr>
            </w:pPr>
          </w:p>
          <w:p w14:paraId="68ADC0CE" w14:textId="1F69037F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DF6BF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38C2118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31DE5795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39D2BC02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4835A23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1E25E083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2E22B55E" w14:textId="77777777" w:rsidR="00062565" w:rsidRPr="00DF6BF3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FC4A4F8" w14:textId="750F4B4E" w:rsidR="00707C38" w:rsidRPr="00DF6BF3" w:rsidRDefault="00062565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DF6BF3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</w:tc>
        <w:tc>
          <w:tcPr>
            <w:tcW w:w="1266" w:type="dxa"/>
          </w:tcPr>
          <w:p w14:paraId="15F99743" w14:textId="77777777" w:rsidR="00707C38" w:rsidRPr="00DF6BF3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DF6BF3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DF6BF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84E76C8" w14:textId="77777777" w:rsidR="008808F5" w:rsidRPr="00DF6BF3" w:rsidRDefault="008808F5" w:rsidP="008808F5">
            <w:pPr>
              <w:rPr>
                <w:rFonts w:ascii="Candara" w:hAnsi="Candara" w:cs="Arial"/>
              </w:rPr>
            </w:pPr>
            <w:r w:rsidRPr="00DF6BF3">
              <w:rPr>
                <w:rFonts w:ascii="Candara" w:hAnsi="Candara" w:cs="Arial"/>
              </w:rPr>
              <w:t xml:space="preserve">Whole class reading </w:t>
            </w:r>
          </w:p>
          <w:p w14:paraId="352FBB70" w14:textId="77777777" w:rsidR="008808F5" w:rsidRPr="00DF6BF3" w:rsidRDefault="008808F5" w:rsidP="008808F5">
            <w:pPr>
              <w:rPr>
                <w:rFonts w:ascii="Candara" w:hAnsi="Candara" w:cs="Arial"/>
              </w:rPr>
            </w:pPr>
            <w:r w:rsidRPr="00DF6BF3">
              <w:rPr>
                <w:rFonts w:ascii="Candara" w:hAnsi="Candara" w:cs="Arial"/>
              </w:rPr>
              <w:t xml:space="preserve">Individuals read aloud </w:t>
            </w:r>
          </w:p>
          <w:p w14:paraId="033676EE" w14:textId="77777777" w:rsidR="008808F5" w:rsidRPr="00DF6BF3" w:rsidRDefault="008808F5" w:rsidP="008808F5">
            <w:pPr>
              <w:rPr>
                <w:rFonts w:ascii="Candara" w:hAnsi="Candara" w:cs="Arial"/>
              </w:rPr>
            </w:pPr>
            <w:r w:rsidRPr="00DF6BF3">
              <w:rPr>
                <w:rFonts w:ascii="Candara" w:hAnsi="Candara" w:cs="Arial"/>
              </w:rPr>
              <w:t>Opportunities for jump in reading for articles/source material.</w:t>
            </w:r>
          </w:p>
          <w:p w14:paraId="5B7D47A0" w14:textId="77777777" w:rsidR="008808F5" w:rsidRPr="00DF6BF3" w:rsidRDefault="008808F5" w:rsidP="008808F5">
            <w:pPr>
              <w:rPr>
                <w:rFonts w:ascii="Candara" w:hAnsi="Candara" w:cs="Arial"/>
              </w:rPr>
            </w:pPr>
            <w:r w:rsidRPr="00DF6BF3">
              <w:rPr>
                <w:rFonts w:ascii="Candara" w:hAnsi="Candara" w:cs="Arial"/>
              </w:rPr>
              <w:t>Skim reading source material to look for key phrases/words</w:t>
            </w:r>
          </w:p>
          <w:p w14:paraId="01CF9184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707C38" w:rsidRPr="00DF6BF3" w14:paraId="348C13CE" w14:textId="77777777" w:rsidTr="00EE7017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DF6BF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2837C6C6" w14:textId="77777777" w:rsidR="00F05E41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Options</w:t>
            </w:r>
          </w:p>
          <w:p w14:paraId="0102238C" w14:textId="2A6A06A4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Decision making</w:t>
            </w:r>
          </w:p>
          <w:p w14:paraId="0F4EBA90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Labour market</w:t>
            </w:r>
          </w:p>
          <w:p w14:paraId="239F855C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21</w:t>
            </w:r>
            <w:r w:rsidRPr="001A3B62">
              <w:rPr>
                <w:rFonts w:ascii="Candara" w:hAnsi="Candara" w:cs="Arial"/>
                <w:vertAlign w:val="superscript"/>
              </w:rPr>
              <w:t>st</w:t>
            </w:r>
            <w:r>
              <w:rPr>
                <w:rFonts w:ascii="Candara" w:hAnsi="Candara" w:cs="Arial"/>
              </w:rPr>
              <w:t xml:space="preserve"> Century</w:t>
            </w:r>
          </w:p>
          <w:p w14:paraId="42B57947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CV</w:t>
            </w:r>
          </w:p>
          <w:p w14:paraId="658BBD22" w14:textId="3074DA11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Desirable</w:t>
            </w:r>
          </w:p>
          <w:p w14:paraId="0DDE7B2C" w14:textId="329BC4D2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Employability</w:t>
            </w:r>
          </w:p>
          <w:p w14:paraId="1CDA7220" w14:textId="487E0969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Interview</w:t>
            </w:r>
          </w:p>
          <w:p w14:paraId="2B286BB1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Stress</w:t>
            </w:r>
          </w:p>
          <w:p w14:paraId="0C2C1B28" w14:textId="35B3B4E2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Biological</w:t>
            </w:r>
          </w:p>
          <w:p w14:paraId="4A2F06BC" w14:textId="44046A29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Disappointment</w:t>
            </w:r>
          </w:p>
          <w:p w14:paraId="78697172" w14:textId="7CDCA141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Reality</w:t>
            </w:r>
          </w:p>
          <w:p w14:paraId="7C538FDE" w14:textId="77777777" w:rsidR="001A3B62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Management</w:t>
            </w:r>
          </w:p>
          <w:p w14:paraId="06B04D24" w14:textId="43331904" w:rsidR="001A3B62" w:rsidRPr="00DF6BF3" w:rsidRDefault="001A3B6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Performance</w:t>
            </w:r>
          </w:p>
        </w:tc>
      </w:tr>
      <w:tr w:rsidR="00707C38" w:rsidRPr="00DF6BF3" w14:paraId="46B2BE8D" w14:textId="77777777" w:rsidTr="00EE7017">
        <w:trPr>
          <w:trHeight w:val="1482"/>
        </w:trPr>
        <w:tc>
          <w:tcPr>
            <w:tcW w:w="4545" w:type="dxa"/>
            <w:vMerge/>
          </w:tcPr>
          <w:p w14:paraId="7CE08260" w14:textId="77777777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DF6BF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1FA25E13" w14:textId="77777777" w:rsidR="001A3B62" w:rsidRPr="00A968DD" w:rsidRDefault="001A3B62" w:rsidP="001A3B62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 xml:space="preserve">Regular low stakes knowledge factual recall assessment/test </w:t>
            </w:r>
          </w:p>
          <w:p w14:paraId="32FFB8F9" w14:textId="77777777" w:rsidR="001A3B62" w:rsidRPr="00A968DD" w:rsidRDefault="001A3B62" w:rsidP="001A3B62">
            <w:pPr>
              <w:rPr>
                <w:rFonts w:ascii="Candara" w:hAnsi="Candara" w:cs="Arial"/>
                <w:sz w:val="24"/>
                <w:szCs w:val="24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End of unit assessments</w:t>
            </w:r>
          </w:p>
          <w:p w14:paraId="715AE291" w14:textId="1767F988" w:rsidR="00707C38" w:rsidRPr="00DF6BF3" w:rsidRDefault="001A3B62" w:rsidP="001A3B62">
            <w:pPr>
              <w:rPr>
                <w:rFonts w:ascii="Candara" w:hAnsi="Candara"/>
                <w:color w:val="000000" w:themeColor="text1"/>
              </w:rPr>
            </w:pPr>
            <w:r w:rsidRPr="00A968DD">
              <w:rPr>
                <w:rFonts w:ascii="Candara" w:hAnsi="Candara" w:cs="Arial"/>
                <w:sz w:val="24"/>
                <w:szCs w:val="24"/>
              </w:rPr>
              <w:t>Ipsative assessment</w:t>
            </w:r>
            <w:r w:rsidRPr="00A968DD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7C38" w:rsidRPr="00DF6BF3" w14:paraId="36C53A8E" w14:textId="77777777" w:rsidTr="00EE7017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DF6BF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DF6BF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50CBE485" w:rsidR="00707C38" w:rsidRPr="00DF6BF3" w:rsidRDefault="001A3B62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F05E41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0AB615" wp14:editId="6AF80F74">
                  <wp:extent cx="647700" cy="647700"/>
                  <wp:effectExtent l="0" t="0" r="0" b="0"/>
                  <wp:docPr id="44" name="Graphic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E909D6B" w14:textId="77777777" w:rsidR="001A3B62" w:rsidRPr="00AF2480" w:rsidRDefault="001A3B62" w:rsidP="001A3B62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Documentary</w:t>
            </w:r>
          </w:p>
          <w:p w14:paraId="4CF3F05B" w14:textId="77777777" w:rsidR="001A3B62" w:rsidRPr="00AF2480" w:rsidRDefault="001A3B62" w:rsidP="001A3B62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Quiz</w:t>
            </w:r>
          </w:p>
          <w:p w14:paraId="3CAC3DA2" w14:textId="4558AEC5" w:rsidR="00965AE9" w:rsidRPr="00DF6BF3" w:rsidRDefault="001A3B62" w:rsidP="001A3B62">
            <w:pPr>
              <w:rPr>
                <w:rFonts w:ascii="Candara" w:hAnsi="Candara"/>
                <w:color w:val="000000" w:themeColor="text1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Article analysis</w:t>
            </w:r>
          </w:p>
        </w:tc>
      </w:tr>
    </w:tbl>
    <w:p w14:paraId="414A848A" w14:textId="77777777" w:rsidR="001A3B62" w:rsidRDefault="001A3B62" w:rsidP="001A3B62">
      <w:pPr>
        <w:jc w:val="center"/>
        <w:rPr>
          <w:i/>
        </w:rPr>
      </w:pPr>
    </w:p>
    <w:p w14:paraId="10C67EE9" w14:textId="66C8D2C4" w:rsidR="00707C38" w:rsidRPr="001A3B62" w:rsidRDefault="001A3B62" w:rsidP="001A3B62">
      <w:pPr>
        <w:jc w:val="center"/>
        <w:rPr>
          <w:rFonts w:ascii="Candara" w:hAnsi="Candara"/>
          <w:sz w:val="24"/>
          <w:szCs w:val="24"/>
        </w:rPr>
      </w:pPr>
      <w:r>
        <w:rPr>
          <w:i/>
        </w:rPr>
        <w:t>Half term 2 will be updated prior to the start of the new half term</w:t>
      </w:r>
    </w:p>
    <w:sectPr w:rsidR="00707C38" w:rsidRPr="001A3B62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565"/>
    <w:rsid w:val="001A3B62"/>
    <w:rsid w:val="0026775F"/>
    <w:rsid w:val="00367E53"/>
    <w:rsid w:val="00440605"/>
    <w:rsid w:val="004673CC"/>
    <w:rsid w:val="00707C38"/>
    <w:rsid w:val="008808F5"/>
    <w:rsid w:val="00965AE9"/>
    <w:rsid w:val="009B1B41"/>
    <w:rsid w:val="00A82DA1"/>
    <w:rsid w:val="00C93011"/>
    <w:rsid w:val="00DF6BF3"/>
    <w:rsid w:val="00EE7017"/>
    <w:rsid w:val="00F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13</cp:revision>
  <dcterms:created xsi:type="dcterms:W3CDTF">2022-06-11T18:50:00Z</dcterms:created>
  <dcterms:modified xsi:type="dcterms:W3CDTF">2023-08-08T12:31:00Z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