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5F0F" w14:textId="598F45BD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DC41F5">
        <w:rPr>
          <w:rFonts w:ascii="Candara" w:hAnsi="Candara"/>
          <w:b/>
          <w:noProof/>
          <w:color w:val="C00000"/>
          <w:sz w:val="28"/>
          <w:szCs w:val="28"/>
          <w:u w:val="single"/>
        </w:rPr>
        <w:t>Music</w:t>
      </w:r>
    </w:p>
    <w:p w14:paraId="653998EA" w14:textId="2B408685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9256BF">
        <w:rPr>
          <w:rFonts w:ascii="Candara" w:hAnsi="Candara"/>
          <w:b/>
          <w:noProof/>
          <w:color w:val="C00000"/>
          <w:sz w:val="28"/>
          <w:szCs w:val="28"/>
          <w:u w:val="single"/>
        </w:rPr>
        <w:t>1</w:t>
      </w:r>
      <w:r w:rsidR="00430DF4">
        <w:rPr>
          <w:rFonts w:ascii="Candara" w:hAnsi="Candara"/>
          <w:b/>
          <w:noProof/>
          <w:color w:val="C00000"/>
          <w:sz w:val="28"/>
          <w:szCs w:val="28"/>
          <w:u w:val="single"/>
        </w:rPr>
        <w:t>0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6"/>
        <w:gridCol w:w="1266"/>
        <w:gridCol w:w="3294"/>
      </w:tblGrid>
      <w:tr w:rsidR="00707C38" w:rsidRPr="00B204C9" w14:paraId="130E1972" w14:textId="77777777" w:rsidTr="00E56909">
        <w:trPr>
          <w:trHeight w:val="1482"/>
        </w:trPr>
        <w:tc>
          <w:tcPr>
            <w:tcW w:w="4546" w:type="dxa"/>
            <w:vMerge w:val="restart"/>
          </w:tcPr>
          <w:p w14:paraId="034847E6" w14:textId="36864C36" w:rsidR="00707C38" w:rsidRPr="00B204C9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  <w:u w:val="single"/>
              </w:rPr>
            </w:pPr>
            <w:r w:rsidRPr="00B204C9">
              <w:rPr>
                <w:rFonts w:ascii="Candara" w:hAnsi="Candara"/>
                <w:color w:val="000000" w:themeColor="text1"/>
                <w:sz w:val="24"/>
                <w:szCs w:val="24"/>
                <w:u w:val="single"/>
              </w:rPr>
              <w:t xml:space="preserve">Half Term </w:t>
            </w:r>
            <w:r w:rsidR="003A79DC">
              <w:rPr>
                <w:rFonts w:ascii="Candara" w:hAnsi="Candara"/>
                <w:color w:val="000000" w:themeColor="text1"/>
                <w:sz w:val="24"/>
                <w:szCs w:val="24"/>
                <w:u w:val="single"/>
              </w:rPr>
              <w:t>5 &amp; 6</w:t>
            </w:r>
            <w:r w:rsidRPr="00B204C9">
              <w:rPr>
                <w:rFonts w:ascii="Candara" w:hAnsi="Candara"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="00467259">
              <w:rPr>
                <w:rFonts w:ascii="Candara" w:hAnsi="Candara"/>
                <w:color w:val="000000" w:themeColor="text1"/>
                <w:sz w:val="24"/>
                <w:szCs w:val="24"/>
                <w:u w:val="single"/>
              </w:rPr>
              <w:t>Component 2 – Music Skills Development</w:t>
            </w:r>
            <w:r w:rsidR="003A79DC">
              <w:rPr>
                <w:rFonts w:ascii="Candara" w:hAnsi="Candara"/>
                <w:color w:val="000000" w:themeColor="text1"/>
                <w:sz w:val="24"/>
                <w:szCs w:val="24"/>
                <w:u w:val="single"/>
              </w:rPr>
              <w:t xml:space="preserve"> Workshops</w:t>
            </w:r>
          </w:p>
          <w:p w14:paraId="06FAFFED" w14:textId="77777777" w:rsidR="00707C38" w:rsidRPr="00B204C9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204C9">
              <w:rPr>
                <w:rFonts w:ascii="Candara" w:hAnsi="Candara"/>
                <w:color w:val="000000" w:themeColor="text1"/>
                <w:sz w:val="24"/>
                <w:szCs w:val="24"/>
              </w:rPr>
              <w:t>Substantive Knowledge:</w:t>
            </w:r>
          </w:p>
          <w:p w14:paraId="1DC474F0" w14:textId="1BB8535C" w:rsidR="000273BA" w:rsidRDefault="00467259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Core skills and techniques required on own instrument</w:t>
            </w:r>
          </w:p>
          <w:p w14:paraId="0962BE20" w14:textId="7C273E05" w:rsidR="00467259" w:rsidRDefault="00467259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Range of technical exercises and studies that will enable development of core technique</w:t>
            </w:r>
          </w:p>
          <w:p w14:paraId="088349B2" w14:textId="3C910D7E" w:rsidR="00467259" w:rsidRPr="00B204C9" w:rsidRDefault="00467259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Importance of warming up prior to practice or performance</w:t>
            </w:r>
          </w:p>
          <w:p w14:paraId="5999AF1D" w14:textId="69BAE24E" w:rsidR="000A601C" w:rsidRPr="00B204C9" w:rsidRDefault="00707C38" w:rsidP="00E56909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204C9">
              <w:rPr>
                <w:rFonts w:ascii="Candara" w:hAnsi="Candara"/>
                <w:color w:val="000000" w:themeColor="text1"/>
                <w:sz w:val="24"/>
                <w:szCs w:val="24"/>
              </w:rPr>
              <w:t>Disciplinary Knowledge:</w:t>
            </w:r>
          </w:p>
          <w:p w14:paraId="511433E9" w14:textId="77777777" w:rsidR="00707C38" w:rsidRDefault="00467259" w:rsidP="00467259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>How to establish a baseline of personal competencies, identify short and mid term goals and write targets to aid development to wards goals.</w:t>
            </w:r>
          </w:p>
          <w:p w14:paraId="206E53E6" w14:textId="77777777" w:rsidR="00467259" w:rsidRDefault="00467259" w:rsidP="00467259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>Be able to plot progress against short and mid term goals, adapting if required</w:t>
            </w:r>
          </w:p>
          <w:p w14:paraId="5FC4A4F8" w14:textId="2C76CE14" w:rsidR="00467259" w:rsidRPr="00B204C9" w:rsidRDefault="00467259" w:rsidP="00467259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>Be able to share own work and comment constructively on others work in person and virtually</w:t>
            </w:r>
          </w:p>
        </w:tc>
        <w:tc>
          <w:tcPr>
            <w:tcW w:w="1266" w:type="dxa"/>
          </w:tcPr>
          <w:p w14:paraId="15F99743" w14:textId="77777777" w:rsidR="00707C38" w:rsidRPr="00B204C9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07C38" w:rsidRPr="00B204C9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B204C9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5BF32049" w14:textId="77777777" w:rsidR="00707C38" w:rsidRPr="00B204C9" w:rsidRDefault="002326C9" w:rsidP="00707C38">
            <w:pPr>
              <w:rPr>
                <w:rFonts w:ascii="Candara" w:hAnsi="Candara"/>
                <w:color w:val="000000" w:themeColor="text1"/>
              </w:rPr>
            </w:pPr>
            <w:r w:rsidRPr="00B204C9">
              <w:rPr>
                <w:rFonts w:ascii="Candara" w:hAnsi="Candara"/>
                <w:color w:val="000000" w:themeColor="text1"/>
              </w:rPr>
              <w:t>Key Terms</w:t>
            </w:r>
          </w:p>
          <w:p w14:paraId="01CF9184" w14:textId="2205406E" w:rsidR="002326C9" w:rsidRPr="00B204C9" w:rsidRDefault="002326C9" w:rsidP="00707C38">
            <w:pPr>
              <w:rPr>
                <w:rFonts w:ascii="Candara" w:hAnsi="Candara"/>
                <w:color w:val="000000" w:themeColor="text1"/>
              </w:rPr>
            </w:pPr>
            <w:r w:rsidRPr="00B204C9">
              <w:rPr>
                <w:rFonts w:ascii="Candara" w:hAnsi="Candara"/>
                <w:color w:val="000000" w:themeColor="text1"/>
              </w:rPr>
              <w:t>Etymology of Key Terms</w:t>
            </w:r>
          </w:p>
        </w:tc>
      </w:tr>
      <w:tr w:rsidR="000A601C" w:rsidRPr="00B204C9" w14:paraId="348C13CE" w14:textId="77777777" w:rsidTr="00E56909">
        <w:trPr>
          <w:trHeight w:val="1482"/>
        </w:trPr>
        <w:tc>
          <w:tcPr>
            <w:tcW w:w="4546" w:type="dxa"/>
            <w:vMerge/>
          </w:tcPr>
          <w:p w14:paraId="1EF2EF81" w14:textId="77777777" w:rsidR="000A601C" w:rsidRPr="00B204C9" w:rsidRDefault="000A601C" w:rsidP="000A601C">
            <w:pPr>
              <w:rPr>
                <w:rFonts w:ascii="Candara" w:hAnsi="Candar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68DADE1C" w14:textId="77777777" w:rsidR="000A601C" w:rsidRPr="00B204C9" w:rsidRDefault="000A601C" w:rsidP="000A601C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0A601C" w:rsidRPr="00B204C9" w:rsidRDefault="000A601C" w:rsidP="000A601C">
            <w:pPr>
              <w:rPr>
                <w:rFonts w:ascii="Candara" w:hAnsi="Candara"/>
                <w:color w:val="000000" w:themeColor="text1"/>
              </w:rPr>
            </w:pPr>
            <w:r w:rsidRPr="00B204C9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vAlign w:val="center"/>
          </w:tcPr>
          <w:p w14:paraId="06B04D24" w14:textId="75ED2A25" w:rsidR="000A601C" w:rsidRPr="00B204C9" w:rsidRDefault="00467259" w:rsidP="000A601C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Performer, producer, composer, arranger, rehearsal, practice, development, target, professional, commercial, refine, stylistic, </w:t>
            </w:r>
            <w:r w:rsidR="003A79DC"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sequential, progression, </w:t>
            </w:r>
          </w:p>
        </w:tc>
      </w:tr>
      <w:tr w:rsidR="000A601C" w:rsidRPr="00B204C9" w14:paraId="46B2BE8D" w14:textId="77777777" w:rsidTr="00E56909">
        <w:trPr>
          <w:trHeight w:val="1482"/>
        </w:trPr>
        <w:tc>
          <w:tcPr>
            <w:tcW w:w="4546" w:type="dxa"/>
            <w:vMerge/>
          </w:tcPr>
          <w:p w14:paraId="7CE08260" w14:textId="77777777" w:rsidR="000A601C" w:rsidRPr="00B204C9" w:rsidRDefault="000A601C" w:rsidP="000A601C">
            <w:pPr>
              <w:rPr>
                <w:rFonts w:ascii="Candara" w:hAnsi="Candar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4BF69416" w14:textId="77777777" w:rsidR="000A601C" w:rsidRPr="00B204C9" w:rsidRDefault="000A601C" w:rsidP="000A601C">
            <w:pPr>
              <w:rPr>
                <w:rFonts w:ascii="Candara" w:hAnsi="Candara"/>
                <w:color w:val="000000" w:themeColor="text1"/>
              </w:rPr>
            </w:pPr>
          </w:p>
          <w:p w14:paraId="4D9BE988" w14:textId="77777777" w:rsidR="000A601C" w:rsidRPr="00B204C9" w:rsidRDefault="000A601C" w:rsidP="000A601C">
            <w:pPr>
              <w:rPr>
                <w:rFonts w:ascii="Candara" w:hAnsi="Candara"/>
                <w:color w:val="000000" w:themeColor="text1"/>
              </w:rPr>
            </w:pPr>
            <w:r w:rsidRPr="00B204C9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2DD4D50A" w14:textId="0954E687" w:rsidR="000A601C" w:rsidRPr="00B204C9" w:rsidRDefault="000A601C" w:rsidP="000A601C">
            <w:pPr>
              <w:rPr>
                <w:rFonts w:ascii="Candara" w:hAnsi="Candara"/>
                <w:color w:val="000000" w:themeColor="text1"/>
              </w:rPr>
            </w:pPr>
            <w:r w:rsidRPr="00B204C9">
              <w:rPr>
                <w:rFonts w:ascii="Candara" w:hAnsi="Candara"/>
                <w:color w:val="000000" w:themeColor="text1"/>
              </w:rPr>
              <w:t xml:space="preserve">Recall Questions </w:t>
            </w:r>
          </w:p>
          <w:p w14:paraId="3EBD328A" w14:textId="77777777" w:rsidR="000A601C" w:rsidRPr="00B204C9" w:rsidRDefault="000A601C" w:rsidP="000A601C">
            <w:pPr>
              <w:rPr>
                <w:rFonts w:ascii="Candara" w:hAnsi="Candara"/>
                <w:color w:val="000000" w:themeColor="text1"/>
              </w:rPr>
            </w:pPr>
            <w:r w:rsidRPr="00B204C9">
              <w:rPr>
                <w:rFonts w:ascii="Candara" w:hAnsi="Candara"/>
                <w:color w:val="000000" w:themeColor="text1"/>
              </w:rPr>
              <w:t>End of Unit Assessment</w:t>
            </w:r>
          </w:p>
          <w:p w14:paraId="715AE291" w14:textId="56AE8BC4" w:rsidR="00240137" w:rsidRPr="00B204C9" w:rsidRDefault="00937A7C" w:rsidP="0024013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lang w:val="en-US"/>
              </w:rPr>
              <w:t>Formative assessment of portfolio work completed on each genre of music</w:t>
            </w:r>
          </w:p>
        </w:tc>
      </w:tr>
      <w:tr w:rsidR="000A601C" w:rsidRPr="00B204C9" w14:paraId="36C53A8E" w14:textId="77777777" w:rsidTr="00E56909">
        <w:trPr>
          <w:trHeight w:val="1482"/>
        </w:trPr>
        <w:tc>
          <w:tcPr>
            <w:tcW w:w="4546" w:type="dxa"/>
            <w:vMerge/>
          </w:tcPr>
          <w:p w14:paraId="5244F406" w14:textId="77777777" w:rsidR="000A601C" w:rsidRPr="00B204C9" w:rsidRDefault="000A601C" w:rsidP="000A601C">
            <w:pPr>
              <w:rPr>
                <w:rFonts w:ascii="Candara" w:hAnsi="Candar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3A526AFD" w14:textId="77777777" w:rsidR="000A601C" w:rsidRPr="00B204C9" w:rsidRDefault="000A601C" w:rsidP="000A601C">
            <w:pPr>
              <w:rPr>
                <w:rFonts w:ascii="Candara" w:hAnsi="Candara"/>
                <w:color w:val="000000" w:themeColor="text1"/>
              </w:rPr>
            </w:pPr>
          </w:p>
          <w:p w14:paraId="06DF3977" w14:textId="77777777" w:rsidR="000A601C" w:rsidRPr="00B204C9" w:rsidRDefault="000A601C" w:rsidP="000A601C">
            <w:pPr>
              <w:rPr>
                <w:rFonts w:ascii="Candara" w:hAnsi="Candara"/>
                <w:color w:val="000000" w:themeColor="text1"/>
              </w:rPr>
            </w:pPr>
            <w:r w:rsidRPr="00B204C9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E4CC3B" wp14:editId="347B9AC6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77555C8A" w14:textId="77777777" w:rsidR="000273BA" w:rsidRDefault="00CA2776" w:rsidP="000A601C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Homework:</w:t>
            </w:r>
          </w:p>
          <w:p w14:paraId="3CAC3DA2" w14:textId="497C392D" w:rsidR="00CA2776" w:rsidRPr="00B204C9" w:rsidRDefault="00004B61" w:rsidP="000A601C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Practice, extension and development tasks towards areas for development</w:t>
            </w:r>
            <w:bookmarkStart w:id="0" w:name="_GoBack"/>
            <w:bookmarkEnd w:id="0"/>
            <w:r>
              <w:rPr>
                <w:rFonts w:ascii="Candara" w:hAnsi="Candara"/>
                <w:color w:val="000000" w:themeColor="text1"/>
              </w:rPr>
              <w:t xml:space="preserve"> </w:t>
            </w:r>
            <w:r w:rsidR="00F045DE">
              <w:rPr>
                <w:rFonts w:ascii="Candara" w:hAnsi="Candara"/>
                <w:color w:val="000000" w:themeColor="text1"/>
              </w:rPr>
              <w:t xml:space="preserve"> </w:t>
            </w:r>
          </w:p>
        </w:tc>
      </w:tr>
    </w:tbl>
    <w:p w14:paraId="10C67EE9" w14:textId="77777777" w:rsidR="00707C38" w:rsidRPr="00707C38" w:rsidRDefault="00707C38" w:rsidP="00BB2E08">
      <w:pPr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8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CF1F9" w14:textId="77777777" w:rsidR="00653FFF" w:rsidRDefault="00653FFF" w:rsidP="00707C38">
      <w:pPr>
        <w:spacing w:after="0" w:line="240" w:lineRule="auto"/>
      </w:pPr>
      <w:r>
        <w:separator/>
      </w:r>
    </w:p>
  </w:endnote>
  <w:endnote w:type="continuationSeparator" w:id="0">
    <w:p w14:paraId="7C4167BE" w14:textId="77777777" w:rsidR="00653FFF" w:rsidRDefault="00653FFF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DF93D" w14:textId="77777777" w:rsidR="00653FFF" w:rsidRDefault="00653FFF" w:rsidP="00707C38">
      <w:pPr>
        <w:spacing w:after="0" w:line="240" w:lineRule="auto"/>
      </w:pPr>
      <w:r>
        <w:separator/>
      </w:r>
    </w:p>
  </w:footnote>
  <w:footnote w:type="continuationSeparator" w:id="0">
    <w:p w14:paraId="5335F3E3" w14:textId="77777777" w:rsidR="00653FFF" w:rsidRDefault="00653FFF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AF6"/>
    <w:multiLevelType w:val="hybridMultilevel"/>
    <w:tmpl w:val="866A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7E55"/>
    <w:multiLevelType w:val="hybridMultilevel"/>
    <w:tmpl w:val="5B507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25AD6"/>
    <w:multiLevelType w:val="hybridMultilevel"/>
    <w:tmpl w:val="E1201A0C"/>
    <w:lvl w:ilvl="0" w:tplc="132CF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82E9B"/>
    <w:multiLevelType w:val="hybridMultilevel"/>
    <w:tmpl w:val="74EAB392"/>
    <w:lvl w:ilvl="0" w:tplc="75246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04B61"/>
    <w:rsid w:val="000273BA"/>
    <w:rsid w:val="00075B85"/>
    <w:rsid w:val="000818FD"/>
    <w:rsid w:val="000A601C"/>
    <w:rsid w:val="00175601"/>
    <w:rsid w:val="002326C9"/>
    <w:rsid w:val="00235FC7"/>
    <w:rsid w:val="00240137"/>
    <w:rsid w:val="0027538C"/>
    <w:rsid w:val="002D244E"/>
    <w:rsid w:val="00301F7D"/>
    <w:rsid w:val="00305445"/>
    <w:rsid w:val="003A79DC"/>
    <w:rsid w:val="0042080C"/>
    <w:rsid w:val="00430DF4"/>
    <w:rsid w:val="00440605"/>
    <w:rsid w:val="00467259"/>
    <w:rsid w:val="004B215E"/>
    <w:rsid w:val="00530AF3"/>
    <w:rsid w:val="0055402D"/>
    <w:rsid w:val="00653FFF"/>
    <w:rsid w:val="00707C38"/>
    <w:rsid w:val="007934F0"/>
    <w:rsid w:val="008B6381"/>
    <w:rsid w:val="009256BF"/>
    <w:rsid w:val="00934F5B"/>
    <w:rsid w:val="00937A7C"/>
    <w:rsid w:val="009908E1"/>
    <w:rsid w:val="009B1B41"/>
    <w:rsid w:val="009D38AC"/>
    <w:rsid w:val="00A34EDD"/>
    <w:rsid w:val="00AF7C74"/>
    <w:rsid w:val="00B204C9"/>
    <w:rsid w:val="00BB2E08"/>
    <w:rsid w:val="00BC5D9A"/>
    <w:rsid w:val="00C827D8"/>
    <w:rsid w:val="00CA2776"/>
    <w:rsid w:val="00CE208C"/>
    <w:rsid w:val="00D43C36"/>
    <w:rsid w:val="00D806D7"/>
    <w:rsid w:val="00DC3DCB"/>
    <w:rsid w:val="00DC41F5"/>
    <w:rsid w:val="00DE1F2D"/>
    <w:rsid w:val="00E56909"/>
    <w:rsid w:val="00F045DE"/>
    <w:rsid w:val="00F3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B6381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B6381"/>
    <w:rPr>
      <w:rFonts w:ascii="Garamond" w:eastAsia="Times New Roman" w:hAnsi="Garamond" w:cs="Times New Roman"/>
      <w:spacing w:val="-5"/>
      <w:sz w:val="24"/>
      <w:szCs w:val="20"/>
    </w:rPr>
  </w:style>
  <w:style w:type="paragraph" w:styleId="ListParagraph">
    <w:name w:val="List Paragraph"/>
    <w:basedOn w:val="Normal"/>
    <w:uiPriority w:val="34"/>
    <w:qFormat/>
    <w:rsid w:val="0024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1B7F2-9E15-42FC-ADE9-722687BCBB68}">
  <ds:schemaRefs>
    <ds:schemaRef ds:uri="33d306e6-140f-4728-9df4-6ed6ddccbb67"/>
    <ds:schemaRef ds:uri="be86b6a6-ef4c-43ea-a746-c158c107f66d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Ian Armitage</cp:lastModifiedBy>
  <cp:revision>3</cp:revision>
  <dcterms:created xsi:type="dcterms:W3CDTF">2024-03-20T15:14:00Z</dcterms:created>
  <dcterms:modified xsi:type="dcterms:W3CDTF">2024-03-22T08:29:00Z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