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6BF585BA" w:rsidP="67CD790B" w:rsidRDefault="6BF585BA" w14:paraId="0A8BB653" w14:textId="56CBDB63">
      <w:pPr>
        <w:spacing w:after="0" w:line="240" w:lineRule="auto"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/>
          <w:color w:val="C00000"/>
          <w:sz w:val="28"/>
          <w:szCs w:val="28"/>
          <w:lang w:val="en-GB"/>
        </w:rPr>
      </w:pPr>
      <w:r w:rsidRPr="67CD790B" w:rsidR="6BF585BA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strike w:val="0"/>
          <w:dstrike w:val="0"/>
          <w:noProof/>
          <w:color w:val="C00000"/>
          <w:sz w:val="28"/>
          <w:szCs w:val="28"/>
          <w:u w:val="single"/>
          <w:lang w:val="en-GB"/>
        </w:rPr>
        <w:t>Curriculum Overview for Religion, Philosophy and Ethics</w:t>
      </w:r>
    </w:p>
    <w:p w:rsidR="6BF585BA" w:rsidP="67CD790B" w:rsidRDefault="6BF585BA" w14:paraId="70712E4F" w14:textId="3C83DDDA">
      <w:pPr>
        <w:spacing w:after="0" w:line="240" w:lineRule="auto"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/>
          <w:color w:val="C00000"/>
          <w:sz w:val="28"/>
          <w:szCs w:val="28"/>
          <w:lang w:val="en-GB"/>
        </w:rPr>
      </w:pPr>
      <w:r w:rsidRPr="67CD790B" w:rsidR="6BF585BA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strike w:val="0"/>
          <w:dstrike w:val="0"/>
          <w:noProof/>
          <w:color w:val="C00000"/>
          <w:sz w:val="28"/>
          <w:szCs w:val="28"/>
          <w:u w:val="single"/>
          <w:lang w:val="en-GB"/>
        </w:rPr>
        <w:t>Year 11 – GCSE</w:t>
      </w:r>
    </w:p>
    <w:p w:rsidR="67CD790B" w:rsidP="67CD790B" w:rsidRDefault="67CD790B" w14:paraId="29148F28" w14:textId="20F6BBE1">
      <w:pPr>
        <w:spacing w:after="0" w:line="240" w:lineRule="auto"/>
        <w:jc w:val="center"/>
        <w:rPr>
          <w:rFonts w:ascii="Candara" w:hAnsi="Candara" w:eastAsia="Candara" w:cs="Candara"/>
          <w:b w:val="0"/>
          <w:bCs w:val="0"/>
          <w:i w:val="0"/>
          <w:iCs w:val="0"/>
          <w:caps w:val="0"/>
          <w:smallCaps w:val="0"/>
          <w:noProof/>
          <w:color w:val="C00000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1250"/>
        <w:gridCol w:w="3258"/>
      </w:tblGrid>
      <w:tr w:rsidR="67CD790B" w:rsidTr="67CD790B" w14:paraId="4C9D4F92">
        <w:trPr>
          <w:trHeight w:val="1080"/>
        </w:trPr>
        <w:tc>
          <w:tcPr>
            <w:tcW w:w="450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3E908058" w14:textId="4D773963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67CD790B" w:rsidR="67CD790B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trike w:val="0"/>
                <w:dstrike w:val="0"/>
                <w:color w:val="385623" w:themeColor="accent6" w:themeTint="FF" w:themeShade="80"/>
                <w:sz w:val="24"/>
                <w:szCs w:val="24"/>
                <w:u w:val="single"/>
                <w:lang w:val="en-GB"/>
              </w:rPr>
              <w:t>Half Term 1: Christianity Beliefs</w:t>
            </w:r>
          </w:p>
          <w:p w:rsidR="67CD790B" w:rsidP="67CD790B" w:rsidRDefault="67CD790B" w14:paraId="04ABCCAC" w14:textId="2CB32572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</w:p>
          <w:p w:rsidR="67CD790B" w:rsidP="67CD790B" w:rsidRDefault="67CD790B" w14:paraId="49887071" w14:textId="5E2E8241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67CD790B" w:rsidR="67CD790B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Substantive Knowledge:</w:t>
            </w:r>
          </w:p>
          <w:p w:rsidR="67CD790B" w:rsidP="67CD790B" w:rsidRDefault="67CD790B" w14:paraId="7CFE347A" w14:textId="6CDBEEC5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nature of God – the concept of monotheism and God being supreme. </w:t>
            </w:r>
          </w:p>
          <w:p w:rsidR="67CD790B" w:rsidP="67CD790B" w:rsidRDefault="67CD790B" w14:paraId="52621A95" w14:textId="0993CF6E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God as omnipotent, loving and just – almighty, all-loving, all-good and a perfect judge of right and wrong. </w:t>
            </w:r>
          </w:p>
          <w:p w:rsidR="67CD790B" w:rsidP="67CD790B" w:rsidRDefault="67CD790B" w14:paraId="12566BD6" w14:textId="12DB351F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oneness of God and the Trinity – three persons in one God – the father, the son and the holy spirit. </w:t>
            </w:r>
          </w:p>
          <w:p w:rsidR="67CD790B" w:rsidP="67CD790B" w:rsidRDefault="67CD790B" w14:paraId="56DCD852" w14:textId="0339E63C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Different Christian beliefs about Creation – creation according to Genesis and the Gospel of John.</w:t>
            </w:r>
          </w:p>
          <w:p w:rsidR="67CD790B" w:rsidP="67CD790B" w:rsidRDefault="67CD790B" w14:paraId="5C931E81" w14:textId="59B75575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incarnation and Jesus, the Son God – The belief that Jesus was God in human form. </w:t>
            </w:r>
          </w:p>
          <w:p w:rsidR="67CD790B" w:rsidP="67CD790B" w:rsidRDefault="67CD790B" w14:paraId="445C07CF" w14:textId="092FAD96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crucifixion – death by crucifixion under Pontius Pilate. </w:t>
            </w:r>
          </w:p>
          <w:p w:rsidR="67CD790B" w:rsidP="67CD790B" w:rsidRDefault="67CD790B" w14:paraId="321FB26B" w14:textId="7A996796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resurrection and ascension – Jesus rising from the dead – ascension 40 days after his resurrection. </w:t>
            </w:r>
          </w:p>
          <w:p w:rsidR="67CD790B" w:rsidP="67CD790B" w:rsidRDefault="67CD790B" w14:paraId="47D7477C" w14:textId="4F5967F9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Resurrection and life after death – how Jesus’ ascension assures Christians they too will rise and live on after death. </w:t>
            </w:r>
          </w:p>
          <w:p w:rsidR="67CD790B" w:rsidP="67CD790B" w:rsidRDefault="67CD790B" w14:paraId="3F5902E7" w14:textId="69BA1101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afterlife and judgement – Day of Judgement. </w:t>
            </w:r>
          </w:p>
          <w:p w:rsidR="67CD790B" w:rsidP="67CD790B" w:rsidRDefault="67CD790B" w14:paraId="2167B5EE" w14:textId="56E4D874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Heaven and hell – state of eternal peace versus state of eternal suffering. </w:t>
            </w:r>
          </w:p>
          <w:p w:rsidR="67CD790B" w:rsidP="67CD790B" w:rsidRDefault="67CD790B" w14:paraId="2A0BE3D8" w14:textId="3B739B5C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Sin and salvation – examining original sin. </w:t>
            </w:r>
          </w:p>
          <w:p w:rsidR="67CD790B" w:rsidP="67CD790B" w:rsidRDefault="67CD790B" w14:paraId="115AAA62" w14:textId="65F58B7A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role of Christ in salvation – salvation is offered through the life and teaching of Jesus. </w:t>
            </w:r>
          </w:p>
          <w:p w:rsidR="67CD790B" w:rsidP="67CD790B" w:rsidRDefault="67CD790B" w14:paraId="05D17D53" w14:textId="3B113AF4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67CD790B" w:rsidR="67CD790B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Disciplinary Knowledge:</w:t>
            </w:r>
          </w:p>
          <w:p w:rsidR="67CD790B" w:rsidP="67CD790B" w:rsidRDefault="67CD790B" w14:paraId="10CD513A" w14:textId="2E61F1F0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Analysing data – timelines, graphs, hierarchies. </w:t>
            </w:r>
          </w:p>
          <w:p w:rsidR="67CD790B" w:rsidP="67CD790B" w:rsidRDefault="67CD790B" w14:paraId="4A19E193" w14:textId="48ED6DF5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Writing comparisons, descriptions and explanations in the same way a sociologist might.</w:t>
            </w:r>
          </w:p>
          <w:p w:rsidR="67CD790B" w:rsidP="67CD790B" w:rsidRDefault="67CD790B" w14:paraId="40A1428F" w14:textId="46CE3755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Literacy skills – Reading comprehension and writing. </w:t>
            </w:r>
          </w:p>
          <w:p w:rsidR="67CD790B" w:rsidP="67CD790B" w:rsidRDefault="67CD790B" w14:paraId="121FDFD7" w14:textId="16DE48A3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Developing and sustaining argument on extended pieces much like a philosopher. Examining sources, images and comparing and contrasting them across religions.</w:t>
            </w:r>
          </w:p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7D19646C" w14:textId="1B558924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7CD790B" w:rsidP="67CD790B" w:rsidRDefault="67CD790B" w14:paraId="3D18C306" w14:textId="4B88D94D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5490E91E" wp14:anchorId="3CD284D9">
                  <wp:extent cx="590550" cy="590550"/>
                  <wp:effectExtent l="0" t="0" r="0" b="0"/>
                  <wp:docPr id="1808052452" name="" descr="Book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625ee00fdf5445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656FADFF" w14:textId="358AC2CB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Teachers lead by example. Teachers read from the board but will also encourage pupils to read aloud to the class. </w:t>
            </w:r>
          </w:p>
          <w:p w:rsidR="67CD790B" w:rsidP="67CD790B" w:rsidRDefault="67CD790B" w14:paraId="76AC03DC" w14:textId="19CA23D7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67CD790B" w:rsidP="67CD790B" w:rsidRDefault="67CD790B" w14:paraId="10140C2C" w14:textId="737AB159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Syllabification of key words. </w:t>
            </w:r>
          </w:p>
          <w:p w:rsidR="67CD790B" w:rsidP="67CD790B" w:rsidRDefault="67CD790B" w14:paraId="11254A4F" w14:textId="712AF440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67CD790B" w:rsidP="67CD790B" w:rsidRDefault="67CD790B" w14:paraId="14203692" w14:textId="2222B490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Pupils will analyse a variety of text sources.</w:t>
            </w:r>
          </w:p>
        </w:tc>
      </w:tr>
      <w:tr w:rsidR="67CD790B" w:rsidTr="67CD790B" w14:paraId="27E45A97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7400115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18E8687F" w14:textId="344EDE7B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7CD790B" w:rsidP="67CD790B" w:rsidRDefault="67CD790B" w14:paraId="3A4613A0" w14:textId="042784B8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49118521" wp14:anchorId="1389EDBE">
                  <wp:extent cx="628650" cy="628650"/>
                  <wp:effectExtent l="0" t="0" r="0" b="0"/>
                  <wp:docPr id="906744663" name="" descr="Spee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3d8f2178f2e4fd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5525BA3A" w14:textId="7B2EA2AC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Monotheistic</w:t>
            </w:r>
          </w:p>
          <w:p w:rsidR="67CD790B" w:rsidP="67CD790B" w:rsidRDefault="67CD790B" w14:paraId="70906537" w14:textId="24CAFE82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Omnipotent</w:t>
            </w:r>
          </w:p>
          <w:p w:rsidR="67CD790B" w:rsidP="67CD790B" w:rsidRDefault="67CD790B" w14:paraId="076D03AB" w14:textId="523A434D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Benevolent</w:t>
            </w:r>
          </w:p>
          <w:p w:rsidR="67CD790B" w:rsidP="67CD790B" w:rsidRDefault="67CD790B" w14:paraId="0C1141B3" w14:textId="4F0E87AE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Just</w:t>
            </w:r>
          </w:p>
          <w:p w:rsidR="67CD790B" w:rsidP="67CD790B" w:rsidRDefault="67CD790B" w14:paraId="1513E4E3" w14:textId="0FE38E5C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The Trinity </w:t>
            </w:r>
          </w:p>
          <w:p w:rsidR="67CD790B" w:rsidP="67CD790B" w:rsidRDefault="67CD790B" w14:paraId="5C6279B2" w14:textId="76B72CD9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Holy spirit </w:t>
            </w:r>
          </w:p>
          <w:p w:rsidR="67CD790B" w:rsidP="67CD790B" w:rsidRDefault="67CD790B" w14:paraId="521A6F36" w14:textId="3A9B7C6B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Son of God</w:t>
            </w:r>
          </w:p>
          <w:p w:rsidR="67CD790B" w:rsidP="67CD790B" w:rsidRDefault="67CD790B" w14:paraId="61D3F409" w14:textId="3BA41495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Creation</w:t>
            </w:r>
          </w:p>
          <w:p w:rsidR="67CD790B" w:rsidP="67CD790B" w:rsidRDefault="67CD790B" w14:paraId="7475C7A5" w14:textId="274C9EF9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Incarnation </w:t>
            </w:r>
          </w:p>
          <w:p w:rsidR="67CD790B" w:rsidP="67CD790B" w:rsidRDefault="67CD790B" w14:paraId="1C655CE5" w14:textId="10EEC944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Resurrection </w:t>
            </w:r>
          </w:p>
          <w:p w:rsidR="67CD790B" w:rsidP="67CD790B" w:rsidRDefault="67CD790B" w14:paraId="0EF6F8FA" w14:textId="6AADCE7C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Blasphemy </w:t>
            </w:r>
          </w:p>
          <w:p w:rsidR="67CD790B" w:rsidP="67CD790B" w:rsidRDefault="67CD790B" w14:paraId="47D662D9" w14:textId="1BA15407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Messiah</w:t>
            </w:r>
          </w:p>
          <w:p w:rsidR="67CD790B" w:rsidP="67CD790B" w:rsidRDefault="67CD790B" w14:paraId="4A85DF2C" w14:textId="4FAFC912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Crucifixion </w:t>
            </w:r>
          </w:p>
          <w:p w:rsidR="67CD790B" w:rsidP="67CD790B" w:rsidRDefault="67CD790B" w14:paraId="4EBC4E24" w14:textId="4436CEBB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Ascension </w:t>
            </w:r>
          </w:p>
          <w:p w:rsidR="67CD790B" w:rsidP="67CD790B" w:rsidRDefault="67CD790B" w14:paraId="3ACFF0AA" w14:textId="2A00D2F0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Heaven </w:t>
            </w:r>
          </w:p>
          <w:p w:rsidR="67CD790B" w:rsidP="67CD790B" w:rsidRDefault="67CD790B" w14:paraId="0C4B013A" w14:textId="7A66570F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Afterlife </w:t>
            </w:r>
          </w:p>
          <w:p w:rsidR="67CD790B" w:rsidP="67CD790B" w:rsidRDefault="67CD790B" w14:paraId="60EE7C3B" w14:textId="16583383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Day of Judgement </w:t>
            </w:r>
          </w:p>
          <w:p w:rsidR="67CD790B" w:rsidP="67CD790B" w:rsidRDefault="67CD790B" w14:paraId="05930278" w14:textId="6094BB8C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Heaven </w:t>
            </w:r>
          </w:p>
          <w:p w:rsidR="67CD790B" w:rsidP="67CD790B" w:rsidRDefault="67CD790B" w14:paraId="357512B2" w14:textId="6548F9C6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Hell </w:t>
            </w:r>
          </w:p>
          <w:p w:rsidR="67CD790B" w:rsidP="67CD790B" w:rsidRDefault="67CD790B" w14:paraId="0080E677" w14:textId="4EE87C55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Purgatory </w:t>
            </w:r>
          </w:p>
          <w:p w:rsidR="67CD790B" w:rsidP="67CD790B" w:rsidRDefault="67CD790B" w14:paraId="13A7DE58" w14:textId="42630BBC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Sin </w:t>
            </w:r>
          </w:p>
          <w:p w:rsidR="67CD790B" w:rsidP="67CD790B" w:rsidRDefault="67CD790B" w14:paraId="3F776EC1" w14:textId="289B3666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Original sin</w:t>
            </w:r>
          </w:p>
          <w:p w:rsidR="67CD790B" w:rsidP="67CD790B" w:rsidRDefault="67CD790B" w14:paraId="634E5ADA" w14:textId="34A7B492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Grace </w:t>
            </w:r>
          </w:p>
          <w:p w:rsidR="67CD790B" w:rsidP="67CD790B" w:rsidRDefault="67CD790B" w14:paraId="79D95353" w14:textId="68B72E47">
            <w:pPr>
              <w:pStyle w:val="NormalWeb"/>
              <w:spacing w:beforeAutospacing="on" w:afterAutospacing="on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Atonement </w:t>
            </w:r>
          </w:p>
        </w:tc>
      </w:tr>
      <w:tr w:rsidR="67CD790B" w:rsidTr="67CD790B" w14:paraId="5680277C">
        <w:trPr>
          <w:trHeight w:val="1155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284FF04C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463C47B4" w14:textId="0537AE72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16B0A139" wp14:anchorId="772B7F14">
                  <wp:extent cx="657225" cy="657225"/>
                  <wp:effectExtent l="0" t="0" r="0" b="0"/>
                  <wp:docPr id="1355321160" name="" descr="Checklist RT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9f01691744b41f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6DE3711F" w14:textId="20FFCFA1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Assessment at the end of the unit made up of short answer and long answer questions. Collect scores from formative assessments in the classroom – multiple choice questions, low stakes. </w:t>
            </w:r>
          </w:p>
          <w:p w:rsidR="67CD790B" w:rsidP="67CD790B" w:rsidRDefault="67CD790B" w14:paraId="36ABC5A4" w14:textId="2C94E45C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Completion of an extended piece of writing throughout the unit.</w:t>
            </w:r>
          </w:p>
          <w:p w:rsidR="67CD790B" w:rsidP="67CD790B" w:rsidRDefault="67CD790B" w14:paraId="6D12F4AD" w14:textId="65B94354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GCSE style questions. </w:t>
            </w:r>
          </w:p>
        </w:tc>
      </w:tr>
      <w:tr w:rsidR="67CD790B" w:rsidTr="67CD790B" w14:paraId="4ACB8C77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AC0CA92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33813C31" w14:textId="3BE7F065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7CD790B" w:rsidP="67CD790B" w:rsidRDefault="67CD790B" w14:paraId="59B3B380" w14:textId="345F53D2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05F19130" wp14:anchorId="583A4EE0">
                  <wp:extent cx="647700" cy="647700"/>
                  <wp:effectExtent l="0" t="0" r="0" b="0"/>
                  <wp:docPr id="1979329495" name="" descr="Hom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0638c0f287041b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0498936C" w14:textId="6A715874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Homework booklet with tasks every week</w:t>
            </w:r>
          </w:p>
        </w:tc>
      </w:tr>
      <w:tr w:rsidR="67CD790B" w:rsidTr="67CD790B" w14:paraId="44FA94B1">
        <w:trPr>
          <w:trHeight w:val="1470"/>
        </w:trPr>
        <w:tc>
          <w:tcPr>
            <w:tcW w:w="4508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7A37B4F4" w14:textId="23EA2102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67CD790B" w:rsidR="67CD790B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strike w:val="0"/>
                <w:dstrike w:val="0"/>
                <w:color w:val="385623" w:themeColor="accent6" w:themeTint="FF" w:themeShade="80"/>
                <w:sz w:val="24"/>
                <w:szCs w:val="24"/>
                <w:u w:val="single"/>
                <w:lang w:val="en-GB"/>
              </w:rPr>
              <w:t>Half Term 2:  Christianity Practices</w:t>
            </w:r>
          </w:p>
          <w:p w:rsidR="67CD790B" w:rsidP="67CD790B" w:rsidRDefault="67CD790B" w14:paraId="5298CB4B" w14:textId="6ADFCC50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</w:p>
          <w:p w:rsidR="67CD790B" w:rsidP="67CD790B" w:rsidRDefault="67CD790B" w14:paraId="5A917C8C" w14:textId="4A415897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67CD790B" w:rsidR="67CD790B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Substantive Knowledge:</w:t>
            </w:r>
          </w:p>
          <w:p w:rsidR="67CD790B" w:rsidP="67CD790B" w:rsidRDefault="67CD790B" w14:paraId="7881AC8F" w14:textId="53D1D176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Worship – reasons for and forms of worship.</w:t>
            </w:r>
          </w:p>
          <w:p w:rsidR="67CD790B" w:rsidP="67CD790B" w:rsidRDefault="67CD790B" w14:paraId="3ACD79DA" w14:textId="0FB7BE63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Prayer – communicating with God. </w:t>
            </w:r>
          </w:p>
          <w:p w:rsidR="67CD790B" w:rsidP="67CD790B" w:rsidRDefault="67CD790B" w14:paraId="4F33502F" w14:textId="28D5D1D5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sacraments: Baptism – a holy ritual whereby followers believe they receive a special gift of grace. Washing away sin. </w:t>
            </w:r>
          </w:p>
          <w:p w:rsidR="67CD790B" w:rsidP="67CD790B" w:rsidRDefault="67CD790B" w14:paraId="3D94931A" w14:textId="022B499B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sacraments: Holy Communion – celebrating the sacrifice of Jesus on the cross and his resurrection. </w:t>
            </w:r>
          </w:p>
          <w:p w:rsidR="67CD790B" w:rsidP="67CD790B" w:rsidRDefault="67CD790B" w14:paraId="7068F148" w14:textId="6D65694D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Celebrating Holy Communion – the ministry of the Word and the ministry of Holy Communion. </w:t>
            </w:r>
          </w:p>
          <w:p w:rsidR="67CD790B" w:rsidP="67CD790B" w:rsidRDefault="67CD790B" w14:paraId="0C327D79" w14:textId="6DC9C4A3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Pilgrimage – a journey to a holy site. </w:t>
            </w:r>
          </w:p>
          <w:p w:rsidR="67CD790B" w:rsidP="67CD790B" w:rsidRDefault="67CD790B" w14:paraId="3CD2038E" w14:textId="1999BE10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Celebrating festivals – Christmas and Easter. </w:t>
            </w:r>
          </w:p>
          <w:p w:rsidR="67CD790B" w:rsidP="67CD790B" w:rsidRDefault="67CD790B" w14:paraId="4134B9C1" w14:textId="374B128A">
            <w:pPr>
              <w:pStyle w:val="NormalWeb"/>
              <w:spacing w:before="0" w:beforeAutospacing="off" w:after="0" w:afterAutospacing="off" w:line="240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role of the Church in the local community: food banks – helping those in the community.</w:t>
            </w:r>
          </w:p>
          <w:p w:rsidR="67CD790B" w:rsidP="67CD790B" w:rsidRDefault="67CD790B" w14:paraId="40E363DA" w14:textId="6F490577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role of the Church in the local community: street pastors – putting faith into action and showing agape. </w:t>
            </w:r>
          </w:p>
          <w:p w:rsidR="67CD790B" w:rsidP="67CD790B" w:rsidRDefault="67CD790B" w14:paraId="0A60C7FA" w14:textId="26E9D2D5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place of mission and evangelism – spreading the faith.</w:t>
            </w:r>
          </w:p>
          <w:p w:rsidR="67CD790B" w:rsidP="67CD790B" w:rsidRDefault="67CD790B" w14:paraId="4DC1B260" w14:textId="7B7DD435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Church growth – spreading the faith and promoting Christ for all Nations. </w:t>
            </w:r>
          </w:p>
          <w:p w:rsidR="67CD790B" w:rsidP="67CD790B" w:rsidRDefault="67CD790B" w14:paraId="4A29F6AC" w14:textId="1AB368AC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The importance of the worldwide Church – restoring people’s relationship with God and one another. </w:t>
            </w:r>
          </w:p>
          <w:p w:rsidR="67CD790B" w:rsidP="67CD790B" w:rsidRDefault="67CD790B" w14:paraId="5AF1D77B" w14:textId="2171E6C4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Christian persecution – reasons for persecution and how the church fights it. </w:t>
            </w:r>
          </w:p>
          <w:p w:rsidR="67CD790B" w:rsidP="67CD790B" w:rsidRDefault="67CD790B" w14:paraId="6EB297A3" w14:textId="4CBD532A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The Church’s response to world poverty – helping relieve poverty through organisations.</w:t>
            </w:r>
          </w:p>
          <w:p w:rsidR="67CD790B" w:rsidP="67CD790B" w:rsidRDefault="67CD790B" w14:paraId="79CF9474" w14:textId="6418D42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</w:p>
          <w:p w:rsidR="67CD790B" w:rsidP="67CD790B" w:rsidRDefault="67CD790B" w14:paraId="31B85224" w14:textId="227EF696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385623" w:themeColor="accent6" w:themeTint="FF" w:themeShade="80"/>
                <w:sz w:val="24"/>
                <w:szCs w:val="24"/>
              </w:rPr>
            </w:pPr>
            <w:r w:rsidRPr="67CD790B" w:rsidR="67CD790B">
              <w:rPr>
                <w:rFonts w:ascii="Candara" w:hAnsi="Candara" w:eastAsia="Candara" w:cs="Candara"/>
                <w:b w:val="1"/>
                <w:bCs w:val="1"/>
                <w:i w:val="0"/>
                <w:iCs w:val="0"/>
                <w:color w:val="385623" w:themeColor="accent6" w:themeTint="FF" w:themeShade="80"/>
                <w:sz w:val="24"/>
                <w:szCs w:val="24"/>
                <w:lang w:val="en-GB"/>
              </w:rPr>
              <w:t>Disciplinary Knowledge:</w:t>
            </w:r>
          </w:p>
          <w:p w:rsidR="67CD790B" w:rsidP="67CD790B" w:rsidRDefault="67CD790B" w14:paraId="0782F68E" w14:textId="51CFE88A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Analysing data – timelines, graphs, hierarchies. </w:t>
            </w:r>
          </w:p>
          <w:p w:rsidR="67CD790B" w:rsidP="67CD790B" w:rsidRDefault="67CD790B" w14:paraId="585AC037" w14:textId="1D93812B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Writing comparisons, descriptions and explanations in the same way a sociologist might.</w:t>
            </w:r>
          </w:p>
          <w:p w:rsidR="67CD790B" w:rsidP="67CD790B" w:rsidRDefault="67CD790B" w14:paraId="276EBC1B" w14:textId="11200211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 xml:space="preserve">Literacy skills – Reading comprehension and writing. </w:t>
            </w:r>
          </w:p>
          <w:p w:rsidR="67CD790B" w:rsidP="67CD790B" w:rsidRDefault="67CD790B" w14:paraId="124139F9" w14:textId="5D51FB4E">
            <w:pPr>
              <w:pStyle w:val="NormalWeb"/>
              <w:spacing w:before="0" w:beforeAutospacing="off" w:after="0" w:afterAutospacing="off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4"/>
                <w:szCs w:val="24"/>
                <w:lang w:val="en-GB"/>
              </w:rPr>
              <w:t>Developing and sustaining argument on extended pieces much like a philosopher. Examining sources, images and comparing and contrasting them across religions.</w:t>
            </w:r>
          </w:p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6F548D34" w14:textId="71A141B5">
            <w:pPr>
              <w:spacing w:line="259" w:lineRule="auto"/>
              <w:jc w:val="center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7CD790B" w:rsidP="67CD790B" w:rsidRDefault="67CD790B" w14:paraId="37CF1CCC" w14:textId="312C7A7D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6457C325" wp14:anchorId="3CAAEFA9">
                  <wp:extent cx="590550" cy="590550"/>
                  <wp:effectExtent l="0" t="0" r="0" b="0"/>
                  <wp:docPr id="310750177" name="" descr="Book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4e660608eb3445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29B57F57" w14:textId="0BF59FFD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Teachers lead by example. Teachers read from the board but will also encourage pupils to read aloud to the class. </w:t>
            </w:r>
          </w:p>
          <w:p w:rsidR="67CD790B" w:rsidP="67CD790B" w:rsidRDefault="67CD790B" w14:paraId="3C55A8F0" w14:textId="49D5BA9A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67CD790B" w:rsidP="67CD790B" w:rsidRDefault="67CD790B" w14:paraId="0DB32019" w14:textId="03F1A5D1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 xml:space="preserve">Syllabification of key words. </w:t>
            </w:r>
          </w:p>
          <w:p w:rsidR="67CD790B" w:rsidP="67CD790B" w:rsidRDefault="67CD790B" w14:paraId="193ED22E" w14:textId="2DE04970">
            <w:pPr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</w:p>
          <w:p w:rsidR="67CD790B" w:rsidP="67CD790B" w:rsidRDefault="67CD790B" w14:paraId="777E539E" w14:textId="2411BACD">
            <w:pPr>
              <w:pStyle w:val="NormalWeb"/>
              <w:spacing w:beforeAutospacing="on" w:afterAutospacing="on" w:line="240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2"/>
                <w:szCs w:val="22"/>
                <w:lang w:val="en-GB"/>
              </w:rPr>
              <w:t>Pupils will analyse a variety of text sources.</w:t>
            </w:r>
          </w:p>
        </w:tc>
      </w:tr>
      <w:tr w:rsidR="67CD790B" w:rsidTr="67CD790B" w14:paraId="0838C60D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722992C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787810F7" w14:textId="0F4D4AE5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7CD790B" w:rsidP="67CD790B" w:rsidRDefault="67CD790B" w14:paraId="2FC2417D" w14:textId="35FADC54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098E8EDA" wp14:anchorId="27C49FAD">
                  <wp:extent cx="628650" cy="628650"/>
                  <wp:effectExtent l="0" t="0" r="0" b="0"/>
                  <wp:docPr id="1687161043" name="" descr="Speech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0fbf16c1134478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4B3F818E" w14:textId="78A8133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Worship</w:t>
            </w:r>
          </w:p>
          <w:p w:rsidR="67CD790B" w:rsidP="67CD790B" w:rsidRDefault="67CD790B" w14:paraId="5E309670" w14:textId="102C6F0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Private worship</w:t>
            </w:r>
          </w:p>
          <w:p w:rsidR="67CD790B" w:rsidP="67CD790B" w:rsidRDefault="67CD790B" w14:paraId="3C76562B" w14:textId="07D2A828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Liturgical worship</w:t>
            </w:r>
          </w:p>
          <w:p w:rsidR="67CD790B" w:rsidP="67CD790B" w:rsidRDefault="67CD790B" w14:paraId="4B11463F" w14:textId="0B960D5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Prayer</w:t>
            </w:r>
          </w:p>
          <w:p w:rsidR="67CD790B" w:rsidP="67CD790B" w:rsidRDefault="67CD790B" w14:paraId="2045C975" w14:textId="5111C11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Set prayers </w:t>
            </w:r>
          </w:p>
          <w:p w:rsidR="67CD790B" w:rsidP="67CD790B" w:rsidRDefault="67CD790B" w14:paraId="581A8178" w14:textId="5AB2480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The Lord’s Prayer</w:t>
            </w:r>
          </w:p>
          <w:p w:rsidR="67CD790B" w:rsidP="67CD790B" w:rsidRDefault="67CD790B" w14:paraId="29EE0243" w14:textId="0D3785D7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Informal prayers</w:t>
            </w:r>
          </w:p>
          <w:p w:rsidR="67CD790B" w:rsidP="67CD790B" w:rsidRDefault="67CD790B" w14:paraId="0ECA208B" w14:textId="151CA28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Sacraments</w:t>
            </w:r>
          </w:p>
          <w:p w:rsidR="67CD790B" w:rsidP="67CD790B" w:rsidRDefault="67CD790B" w14:paraId="5C0DE3AB" w14:textId="69647D5E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Baptism</w:t>
            </w:r>
          </w:p>
          <w:p w:rsidR="67CD790B" w:rsidP="67CD790B" w:rsidRDefault="67CD790B" w14:paraId="5E95FA12" w14:textId="1F79F7F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Believers' baptism </w:t>
            </w:r>
          </w:p>
          <w:p w:rsidR="67CD790B" w:rsidP="67CD790B" w:rsidRDefault="67CD790B" w14:paraId="10023588" w14:textId="439B3F3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Infant baptism </w:t>
            </w:r>
          </w:p>
          <w:p w:rsidR="67CD790B" w:rsidP="67CD790B" w:rsidRDefault="67CD790B" w14:paraId="60456DF1" w14:textId="0BA5C97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Holy communion (Eucharist)</w:t>
            </w:r>
          </w:p>
          <w:p w:rsidR="67CD790B" w:rsidP="67CD790B" w:rsidRDefault="67CD790B" w14:paraId="04A2BA26" w14:textId="3D1EF8F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Pilgrimage </w:t>
            </w:r>
          </w:p>
          <w:p w:rsidR="67CD790B" w:rsidP="67CD790B" w:rsidRDefault="67CD790B" w14:paraId="4ED35EE0" w14:textId="65670DF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Festival</w:t>
            </w:r>
          </w:p>
          <w:p w:rsidR="67CD790B" w:rsidP="67CD790B" w:rsidRDefault="67CD790B" w14:paraId="1970B993" w14:textId="7E39887B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Christmas </w:t>
            </w:r>
          </w:p>
          <w:p w:rsidR="67CD790B" w:rsidP="67CD790B" w:rsidRDefault="67CD790B" w14:paraId="6AEE2185" w14:textId="7BEF251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Easter</w:t>
            </w:r>
          </w:p>
          <w:p w:rsidR="67CD790B" w:rsidP="67CD790B" w:rsidRDefault="67CD790B" w14:paraId="3AE776B9" w14:textId="1283816D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Agape</w:t>
            </w:r>
          </w:p>
          <w:p w:rsidR="67CD790B" w:rsidP="67CD790B" w:rsidRDefault="67CD790B" w14:paraId="570FB24A" w14:textId="00DEDAA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Mission</w:t>
            </w:r>
          </w:p>
          <w:p w:rsidR="67CD790B" w:rsidP="67CD790B" w:rsidRDefault="67CD790B" w14:paraId="28F5F0D4" w14:textId="0D025A0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Evangelism</w:t>
            </w:r>
          </w:p>
          <w:p w:rsidR="67CD790B" w:rsidP="67CD790B" w:rsidRDefault="67CD790B" w14:paraId="001BAA07" w14:textId="480035E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Great Commission</w:t>
            </w:r>
          </w:p>
          <w:p w:rsidR="67CD790B" w:rsidP="67CD790B" w:rsidRDefault="67CD790B" w14:paraId="3BE967B9" w14:textId="4CA843F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Converts</w:t>
            </w:r>
          </w:p>
          <w:p w:rsidR="67CD790B" w:rsidP="67CD790B" w:rsidRDefault="67CD790B" w14:paraId="37B01340" w14:textId="499C9442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Reconciliation </w:t>
            </w:r>
          </w:p>
          <w:p w:rsidR="67CD790B" w:rsidP="67CD790B" w:rsidRDefault="67CD790B" w14:paraId="4DC881B5" w14:textId="589A89FF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Persecution</w:t>
            </w:r>
          </w:p>
        </w:tc>
      </w:tr>
      <w:tr w:rsidR="67CD790B" w:rsidTr="67CD790B" w14:paraId="2F0813C8">
        <w:trPr>
          <w:trHeight w:val="1470"/>
        </w:trPr>
        <w:tc>
          <w:tcPr>
            <w:tcW w:w="4508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5067AAD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0C6B487B" w14:textId="43B274A2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7761F5B5" wp14:anchorId="62C08C72">
                  <wp:extent cx="657225" cy="657225"/>
                  <wp:effectExtent l="0" t="0" r="0" b="0"/>
                  <wp:docPr id="1905793570" name="" descr="Checklist RT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8e32b0608ed4ea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5E27BFD8" w14:textId="53E47C7E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Assessment at the end of the unit made up of short answer and long answer questions. Collect scores from formative assessments in the classroom – multiple choice questions, low stakes. </w:t>
            </w:r>
          </w:p>
          <w:p w:rsidR="67CD790B" w:rsidP="67CD790B" w:rsidRDefault="67CD790B" w14:paraId="2CCDEF75" w14:textId="6D494CD6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Completion of an extended piece of writing throughout the unit.</w:t>
            </w:r>
          </w:p>
          <w:p w:rsidR="67CD790B" w:rsidP="67CD790B" w:rsidRDefault="67CD790B" w14:paraId="4AFE8C42" w14:textId="73AEE646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GCSE style questions.</w:t>
            </w:r>
          </w:p>
          <w:p w:rsidR="67CD790B" w:rsidP="67CD790B" w:rsidRDefault="67CD790B" w14:paraId="25E041C4" w14:textId="130B532C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7CD790B" w:rsidTr="67CD790B" w14:paraId="5EB72CF3">
        <w:trPr>
          <w:trHeight w:val="1470"/>
        </w:trPr>
        <w:tc>
          <w:tcPr>
            <w:tcW w:w="4508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87DEE9C"/>
        </w:tc>
        <w:tc>
          <w:tcPr>
            <w:tcW w:w="12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2D24C059" w14:textId="3FE60E4C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67CD790B" w:rsidP="67CD790B" w:rsidRDefault="67CD790B" w14:paraId="44EE4434" w14:textId="2180C3B6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="67CD790B">
              <w:drawing>
                <wp:inline wp14:editId="08FFD30E" wp14:anchorId="602B6390">
                  <wp:extent cx="647700" cy="647700"/>
                  <wp:effectExtent l="0" t="0" r="0" b="0"/>
                  <wp:docPr id="27090616" name="" descr="Hom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9cce387e7e4d3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67CD790B" w:rsidP="67CD790B" w:rsidRDefault="67CD790B" w14:paraId="409BBBF4" w14:textId="2191E33E">
            <w:pPr>
              <w:spacing w:line="259" w:lineRule="auto"/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7CD790B" w:rsidR="67CD790B">
              <w:rPr>
                <w:rFonts w:ascii="Candara" w:hAnsi="Candara" w:eastAsia="Candara" w:cs="Candara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GB"/>
              </w:rPr>
              <w:t>Homework booklet with tasks every week</w:t>
            </w:r>
          </w:p>
        </w:tc>
      </w:tr>
    </w:tbl>
    <w:p w:rsidR="67CD790B" w:rsidP="67CD790B" w:rsidRDefault="67CD790B" w14:paraId="50947ED9" w14:textId="0464E70D">
      <w:pPr>
        <w:pStyle w:val="Normal"/>
        <w:rPr>
          <w:rFonts w:ascii="Candara" w:hAnsi="Candara"/>
          <w:b w:val="1"/>
          <w:bCs w:val="1"/>
          <w:noProof/>
          <w:color w:val="C00000"/>
          <w:sz w:val="28"/>
          <w:szCs w:val="28"/>
          <w:u w:val="single"/>
        </w:rPr>
      </w:pPr>
    </w:p>
    <w:sectPr w:rsidRPr="00707C38" w:rsidR="00707C38" w:rsidSect="009B1B41">
      <w:headerReference w:type="default" r:id="rId17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71EA" w:rsidP="00707C38" w:rsidRDefault="00CB71EA" w14:paraId="05005095" w14:textId="77777777">
      <w:pPr>
        <w:spacing w:after="0" w:line="240" w:lineRule="auto"/>
      </w:pPr>
      <w:r>
        <w:separator/>
      </w:r>
    </w:p>
  </w:endnote>
  <w:endnote w:type="continuationSeparator" w:id="0">
    <w:p w:rsidR="00CB71EA" w:rsidP="00707C38" w:rsidRDefault="00CB71EA" w14:paraId="041C31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71EA" w:rsidP="00707C38" w:rsidRDefault="00CB71EA" w14:paraId="7EB0E744" w14:textId="77777777">
      <w:pPr>
        <w:spacing w:after="0" w:line="240" w:lineRule="auto"/>
      </w:pPr>
      <w:r>
        <w:separator/>
      </w:r>
    </w:p>
  </w:footnote>
  <w:footnote w:type="continuationSeparator" w:id="0">
    <w:p w:rsidR="00CB71EA" w:rsidP="00707C38" w:rsidRDefault="00CB71EA" w14:paraId="4E6079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707C38" w:rsidRDefault="00707C38" w14:paraId="4FFA9FF2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06296"/>
    <w:rsid w:val="00217593"/>
    <w:rsid w:val="00244A34"/>
    <w:rsid w:val="002B1C1D"/>
    <w:rsid w:val="00417E21"/>
    <w:rsid w:val="00440605"/>
    <w:rsid w:val="005C5D39"/>
    <w:rsid w:val="006C1DA0"/>
    <w:rsid w:val="006F2143"/>
    <w:rsid w:val="00707C38"/>
    <w:rsid w:val="008D4A83"/>
    <w:rsid w:val="00915C60"/>
    <w:rsid w:val="009B1B41"/>
    <w:rsid w:val="00AD75BA"/>
    <w:rsid w:val="00AE61BD"/>
    <w:rsid w:val="00C46589"/>
    <w:rsid w:val="00CA493A"/>
    <w:rsid w:val="00CB71EA"/>
    <w:rsid w:val="00D222C7"/>
    <w:rsid w:val="67CD790B"/>
    <w:rsid w:val="6BF58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244A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/media/image6.png" Id="R8625ee00fdf54454" /><Relationship Type="http://schemas.openxmlformats.org/officeDocument/2006/relationships/image" Target="/media/image7.png" Id="Rf3d8f2178f2e4fd5" /><Relationship Type="http://schemas.openxmlformats.org/officeDocument/2006/relationships/image" Target="/media/image8.png" Id="R19f01691744b41f5" /><Relationship Type="http://schemas.openxmlformats.org/officeDocument/2006/relationships/image" Target="/media/image9.png" Id="R10638c0f287041bb" /><Relationship Type="http://schemas.openxmlformats.org/officeDocument/2006/relationships/image" Target="/media/imagea.png" Id="R04e660608eb34453" /><Relationship Type="http://schemas.openxmlformats.org/officeDocument/2006/relationships/image" Target="/media/imageb.png" Id="R30fbf16c11344787" /><Relationship Type="http://schemas.openxmlformats.org/officeDocument/2006/relationships/image" Target="/media/imagec.png" Id="R58e32b0608ed4eaa" /><Relationship Type="http://schemas.openxmlformats.org/officeDocument/2006/relationships/image" Target="/media/imaged.png" Id="R079cce387e7e4d3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428233-F299-4E3B-83F2-48A9BAFF5933}"/>
</file>

<file path=customXml/itemProps2.xml><?xml version="1.0" encoding="utf-8"?>
<ds:datastoreItem xmlns:ds="http://schemas.openxmlformats.org/officeDocument/2006/customXml" ds:itemID="{D401B7F2-9E15-42FC-ADE9-722687BCB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Hayleigh Kavanagh</cp:lastModifiedBy>
  <cp:revision>7</cp:revision>
  <dcterms:created xsi:type="dcterms:W3CDTF">2022-07-05T09:54:00Z</dcterms:created>
  <dcterms:modified xsi:type="dcterms:W3CDTF">2024-06-21T07:37:42Z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</Properties>
</file>