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5C78"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52DC8C0" w14:textId="77777777" w:rsidR="003E17FA" w:rsidRPr="00B0451D" w:rsidRDefault="003E17FA" w:rsidP="003E17FA">
      <w:pPr>
        <w:spacing w:before="100" w:beforeAutospacing="1" w:after="100" w:afterAutospacing="1" w:line="240" w:lineRule="auto"/>
        <w:rPr>
          <w:rFonts w:cstheme="minorHAnsi"/>
        </w:rPr>
      </w:pPr>
      <w:r w:rsidRPr="00B0451D">
        <w:rPr>
          <w:rFonts w:cstheme="minorHAnsi"/>
        </w:rPr>
        <w:t>At Tenbury High Ormiston Academy, disadvantaged students are identified as those who face significant barriers to their academic success and personal development due to socioeconomic circumstances. These students may be eligible for additional funding through the Pupil Premium, including those who:</w:t>
      </w:r>
    </w:p>
    <w:p w14:paraId="287B5D78" w14:textId="77777777" w:rsidR="003E17FA" w:rsidRPr="00B0451D" w:rsidRDefault="003E17FA" w:rsidP="003E17FA">
      <w:pPr>
        <w:numPr>
          <w:ilvl w:val="0"/>
          <w:numId w:val="17"/>
        </w:numPr>
        <w:suppressAutoHyphens w:val="0"/>
        <w:autoSpaceDN/>
        <w:spacing w:before="100" w:beforeAutospacing="1" w:after="100" w:afterAutospacing="1" w:line="240" w:lineRule="auto"/>
        <w:rPr>
          <w:rFonts w:cstheme="minorHAnsi"/>
        </w:rPr>
      </w:pPr>
      <w:r w:rsidRPr="00B0451D">
        <w:rPr>
          <w:rFonts w:cstheme="minorHAnsi"/>
        </w:rPr>
        <w:t>Are currently eligible for free school meals (FSM) or have been eligible within the last six years (Ever 6 FSM).</w:t>
      </w:r>
    </w:p>
    <w:p w14:paraId="1FBD97C4" w14:textId="3D72D64E" w:rsidR="003E17FA" w:rsidRPr="00B0451D" w:rsidRDefault="003E17FA" w:rsidP="003E17FA">
      <w:pPr>
        <w:numPr>
          <w:ilvl w:val="0"/>
          <w:numId w:val="17"/>
        </w:numPr>
        <w:suppressAutoHyphens w:val="0"/>
        <w:autoSpaceDN/>
        <w:spacing w:before="100" w:beforeAutospacing="1" w:after="100" w:afterAutospacing="1" w:line="240" w:lineRule="auto"/>
        <w:rPr>
          <w:rFonts w:cstheme="minorHAnsi"/>
        </w:rPr>
      </w:pPr>
      <w:r w:rsidRPr="00B0451D">
        <w:rPr>
          <w:rFonts w:cstheme="minorHAnsi"/>
        </w:rPr>
        <w:t>Are in the care of the local authority (</w:t>
      </w:r>
      <w:r w:rsidR="00E27B35">
        <w:rPr>
          <w:rFonts w:cstheme="minorHAnsi"/>
        </w:rPr>
        <w:t>Children Looked After</w:t>
      </w:r>
      <w:r w:rsidRPr="00B0451D">
        <w:rPr>
          <w:rFonts w:cstheme="minorHAnsi"/>
        </w:rPr>
        <w:t xml:space="preserve">, </w:t>
      </w:r>
      <w:r w:rsidR="00E27B35">
        <w:rPr>
          <w:rFonts w:cstheme="minorHAnsi"/>
        </w:rPr>
        <w:t>CLA</w:t>
      </w:r>
      <w:r w:rsidRPr="00B0451D">
        <w:rPr>
          <w:rFonts w:cstheme="minorHAnsi"/>
        </w:rPr>
        <w:t>) or have previously been in care (Post-</w:t>
      </w:r>
      <w:r w:rsidR="00E27B35">
        <w:rPr>
          <w:rFonts w:cstheme="minorHAnsi"/>
        </w:rPr>
        <w:t>CLA</w:t>
      </w:r>
      <w:r w:rsidRPr="00B0451D">
        <w:rPr>
          <w:rFonts w:cstheme="minorHAnsi"/>
        </w:rPr>
        <w:t>).</w:t>
      </w:r>
    </w:p>
    <w:p w14:paraId="47740582" w14:textId="77777777" w:rsidR="003E17FA" w:rsidRPr="00B0451D" w:rsidRDefault="003E17FA" w:rsidP="003E17FA">
      <w:pPr>
        <w:numPr>
          <w:ilvl w:val="0"/>
          <w:numId w:val="17"/>
        </w:numPr>
        <w:suppressAutoHyphens w:val="0"/>
        <w:autoSpaceDN/>
        <w:spacing w:before="100" w:beforeAutospacing="1" w:after="100" w:afterAutospacing="1" w:line="240" w:lineRule="auto"/>
        <w:rPr>
          <w:rFonts w:cstheme="minorHAnsi"/>
        </w:rPr>
      </w:pPr>
      <w:r w:rsidRPr="00B0451D">
        <w:rPr>
          <w:rFonts w:cstheme="minorHAnsi"/>
        </w:rPr>
        <w:t>Live in households with low income or other socio-economic disadvantages.</w:t>
      </w:r>
    </w:p>
    <w:p w14:paraId="490414C2" w14:textId="77777777" w:rsidR="003E17FA" w:rsidRPr="00170BE0" w:rsidRDefault="003E17FA" w:rsidP="003E17FA">
      <w:pPr>
        <w:spacing w:after="0" w:line="240" w:lineRule="auto"/>
        <w:rPr>
          <w:rFonts w:cstheme="minorHAnsi"/>
        </w:rPr>
      </w:pPr>
      <w:r w:rsidRPr="00170BE0">
        <w:rPr>
          <w:rFonts w:cstheme="minorHAnsi"/>
        </w:rPr>
        <w:t>Disadvantaged students at Tenbury High Ormiston Academy face challenges with attendance and academic progress, especially in Maths and English. This strategy aims to address these concerns using a three-tiered approach that focuses on high-quality teaching, targeted academic support, and broader enrichment strategies.</w:t>
      </w:r>
    </w:p>
    <w:p w14:paraId="46894AFB"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533D241C"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C0E4E63"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BE1DF37" w14:textId="77777777" w:rsidR="00E66558" w:rsidRDefault="009D71E8">
            <w:pPr>
              <w:pStyle w:val="TableHeader"/>
              <w:jc w:val="left"/>
            </w:pPr>
            <w:r>
              <w:t>Data</w:t>
            </w:r>
          </w:p>
        </w:tc>
      </w:tr>
      <w:tr w:rsidR="00E66558" w14:paraId="2DA614E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F2BFF"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D012" w14:textId="77777777" w:rsidR="00E66558" w:rsidRPr="00AE7835" w:rsidRDefault="003012D8">
            <w:pPr>
              <w:pStyle w:val="TableRow"/>
            </w:pPr>
            <w:r w:rsidRPr="00AE7835">
              <w:t>Tenbury High Ormiston Academy</w:t>
            </w:r>
          </w:p>
        </w:tc>
      </w:tr>
      <w:tr w:rsidR="00E66558" w14:paraId="26BB3D3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13D7"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14F8" w14:textId="77777777" w:rsidR="00E66558" w:rsidRPr="00AE7835" w:rsidRDefault="00AE7835">
            <w:pPr>
              <w:pStyle w:val="TableRow"/>
            </w:pPr>
            <w:r w:rsidRPr="00AE7835">
              <w:t>468</w:t>
            </w:r>
          </w:p>
        </w:tc>
      </w:tr>
      <w:tr w:rsidR="00E66558" w14:paraId="0E648E6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5FFD"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5429" w14:textId="53FE17A4" w:rsidR="00E66558" w:rsidRPr="00AE7835" w:rsidRDefault="009A3FCC">
            <w:pPr>
              <w:pStyle w:val="TableRow"/>
            </w:pPr>
            <w:r w:rsidRPr="00AE7835">
              <w:t>21% (97 pupils)</w:t>
            </w:r>
          </w:p>
        </w:tc>
      </w:tr>
      <w:tr w:rsidR="00E66558" w14:paraId="37BB88E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A3CB"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0856D" w14:textId="77777777" w:rsidR="003012D8" w:rsidRDefault="003012D8" w:rsidP="00C44C0A">
            <w:pPr>
              <w:pStyle w:val="TableRow"/>
            </w:pPr>
            <w:r>
              <w:t>2021-</w:t>
            </w:r>
            <w:r w:rsidR="00C44C0A">
              <w:t>2024</w:t>
            </w:r>
          </w:p>
        </w:tc>
      </w:tr>
      <w:tr w:rsidR="00E66558" w14:paraId="7A2DA4B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FEBBF"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3D275" w14:textId="3CBBF932" w:rsidR="00E66558" w:rsidRPr="00C44C0A" w:rsidRDefault="003E17FA">
            <w:pPr>
              <w:pStyle w:val="TableRow"/>
            </w:pPr>
            <w:r>
              <w:t>January 2025</w:t>
            </w:r>
          </w:p>
        </w:tc>
      </w:tr>
      <w:tr w:rsidR="00E66558" w14:paraId="43D664A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4AD5"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A51E" w14:textId="40CFF31E" w:rsidR="00E66558" w:rsidRPr="00C44C0A" w:rsidRDefault="009A3FCC">
            <w:pPr>
              <w:pStyle w:val="TableRow"/>
            </w:pPr>
            <w:r w:rsidRPr="00C44C0A">
              <w:t>September 202</w:t>
            </w:r>
            <w:r w:rsidR="003E17FA">
              <w:t>5</w:t>
            </w:r>
          </w:p>
        </w:tc>
      </w:tr>
      <w:tr w:rsidR="00E66558" w14:paraId="55C3CD1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F9AE8"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7A05" w14:textId="77777777" w:rsidR="00E66558" w:rsidRDefault="009A3FCC">
            <w:pPr>
              <w:pStyle w:val="TableRow"/>
            </w:pPr>
            <w:r>
              <w:t>Vicki Dean</w:t>
            </w:r>
          </w:p>
        </w:tc>
      </w:tr>
      <w:tr w:rsidR="00E66558" w14:paraId="6CF4432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9278"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D864" w14:textId="753DDB47" w:rsidR="00E66558" w:rsidRPr="00AE7835" w:rsidRDefault="00C3716D">
            <w:pPr>
              <w:pStyle w:val="TableRow"/>
            </w:pPr>
            <w:r>
              <w:t>Andrew Wilks</w:t>
            </w:r>
          </w:p>
        </w:tc>
      </w:tr>
      <w:tr w:rsidR="00E66558" w14:paraId="60A62C9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0C4D"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DDC9" w14:textId="77777777" w:rsidR="00E66558" w:rsidRPr="00AE7835" w:rsidRDefault="00AF4FCF">
            <w:pPr>
              <w:pStyle w:val="TableRow"/>
            </w:pPr>
            <w:r w:rsidRPr="00AE7835">
              <w:t>Andy Burns</w:t>
            </w:r>
          </w:p>
        </w:tc>
      </w:tr>
    </w:tbl>
    <w:bookmarkEnd w:id="2"/>
    <w:bookmarkEnd w:id="3"/>
    <w:bookmarkEnd w:id="4"/>
    <w:p w14:paraId="62090B52"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5BA0AA8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00435AA"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C8B6B51" w14:textId="77777777" w:rsidR="00E66558" w:rsidRDefault="009D71E8">
            <w:pPr>
              <w:pStyle w:val="TableRow"/>
            </w:pPr>
            <w:r>
              <w:rPr>
                <w:b/>
              </w:rPr>
              <w:t>Amount</w:t>
            </w:r>
          </w:p>
        </w:tc>
      </w:tr>
      <w:tr w:rsidR="003274E5" w14:paraId="7A82A24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443F" w14:textId="77777777" w:rsidR="003274E5" w:rsidRDefault="003274E5" w:rsidP="003274E5">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0ADE" w14:textId="4C4C6E60" w:rsidR="003274E5" w:rsidRPr="009A3FCC" w:rsidRDefault="003274E5" w:rsidP="003274E5">
            <w:pPr>
              <w:pStyle w:val="TableRow"/>
              <w:rPr>
                <w:highlight w:val="cyan"/>
              </w:rPr>
            </w:pPr>
            <w:r w:rsidRPr="002A7C99">
              <w:rPr>
                <w:highlight w:val="yellow"/>
              </w:rPr>
              <w:t>£79,275</w:t>
            </w:r>
          </w:p>
        </w:tc>
      </w:tr>
      <w:tr w:rsidR="003274E5" w14:paraId="3304443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8E134" w14:textId="77777777" w:rsidR="003274E5" w:rsidRDefault="003274E5" w:rsidP="003274E5">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4629" w14:textId="2B332B73" w:rsidR="003274E5" w:rsidRPr="009A3FCC" w:rsidRDefault="003274E5" w:rsidP="003274E5">
            <w:pPr>
              <w:pStyle w:val="TableRow"/>
              <w:rPr>
                <w:highlight w:val="cyan"/>
              </w:rPr>
            </w:pPr>
            <w:r w:rsidRPr="002A7C99">
              <w:rPr>
                <w:highlight w:val="yellow"/>
              </w:rPr>
              <w:t>£0</w:t>
            </w:r>
          </w:p>
        </w:tc>
      </w:tr>
      <w:tr w:rsidR="003274E5" w14:paraId="59384B2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92B6E" w14:textId="77777777" w:rsidR="003274E5" w:rsidRDefault="003274E5" w:rsidP="003274E5">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FFC6" w14:textId="651694B2" w:rsidR="003274E5" w:rsidRPr="009A3FCC" w:rsidRDefault="003274E5" w:rsidP="003274E5">
            <w:pPr>
              <w:pStyle w:val="TableRow"/>
              <w:rPr>
                <w:highlight w:val="cyan"/>
              </w:rPr>
            </w:pPr>
            <w:r w:rsidRPr="002A7C99">
              <w:rPr>
                <w:highlight w:val="yellow"/>
              </w:rPr>
              <w:t>£0</w:t>
            </w:r>
          </w:p>
        </w:tc>
      </w:tr>
      <w:tr w:rsidR="003274E5" w14:paraId="6BAFA14D"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84407" w14:textId="77777777" w:rsidR="003274E5" w:rsidRDefault="003274E5" w:rsidP="003274E5">
            <w:pPr>
              <w:pStyle w:val="TableRow"/>
              <w:rPr>
                <w:b/>
              </w:rPr>
            </w:pPr>
            <w:r>
              <w:rPr>
                <w:b/>
              </w:rPr>
              <w:t>Total budget for this academic year</w:t>
            </w:r>
          </w:p>
          <w:p w14:paraId="55469C1B" w14:textId="77777777" w:rsidR="003274E5" w:rsidRDefault="003274E5" w:rsidP="003274E5">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904D" w14:textId="2E535A2A" w:rsidR="003274E5" w:rsidRPr="009A3FCC" w:rsidRDefault="003274E5" w:rsidP="003274E5">
            <w:pPr>
              <w:pStyle w:val="TableRow"/>
              <w:rPr>
                <w:highlight w:val="cyan"/>
              </w:rPr>
            </w:pPr>
            <w:r w:rsidRPr="002A7C99">
              <w:rPr>
                <w:highlight w:val="yellow"/>
              </w:rPr>
              <w:lastRenderedPageBreak/>
              <w:t>£79,275</w:t>
            </w:r>
          </w:p>
        </w:tc>
      </w:tr>
    </w:tbl>
    <w:p w14:paraId="4BCC042D" w14:textId="77777777" w:rsidR="00E66558" w:rsidRDefault="009D71E8">
      <w:pPr>
        <w:pStyle w:val="Heading1"/>
      </w:pPr>
      <w:r>
        <w:t>Part A: Pupil premium strategy plan</w:t>
      </w:r>
    </w:p>
    <w:p w14:paraId="6CC92044"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53AB0183" w14:textId="77777777" w:rsidTr="00AF7A1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7BC72" w14:textId="77777777" w:rsidR="00614447" w:rsidRPr="00AF7A16" w:rsidRDefault="00614447" w:rsidP="00614447">
            <w:pPr>
              <w:tabs>
                <w:tab w:val="left" w:pos="13697"/>
              </w:tabs>
              <w:spacing w:after="0" w:line="240" w:lineRule="auto"/>
              <w:ind w:left="567" w:right="565"/>
              <w:jc w:val="center"/>
              <w:rPr>
                <w:rFonts w:cs="Arial"/>
              </w:rPr>
            </w:pPr>
            <w:r w:rsidRPr="00AF7A16">
              <w:t xml:space="preserve">“Equity is not the same as equality. It means schools doing more for some </w:t>
            </w:r>
            <w:r w:rsidRPr="00AF7A16">
              <w:rPr>
                <w:rFonts w:cs="Arial"/>
              </w:rPr>
              <w:t xml:space="preserve">children than others in order to create a more level playing field. Recognising that some children have a very narrow experience outside school and providing them with additional opportunities is an important step in ensuring that they can make the most of their educational opportunities.” </w:t>
            </w:r>
            <w:r w:rsidRPr="00AF7A16">
              <w:rPr>
                <w:rFonts w:cs="Arial"/>
                <w:i/>
              </w:rPr>
              <w:t>Sir John Dunford</w:t>
            </w:r>
          </w:p>
          <w:p w14:paraId="27356969" w14:textId="77777777" w:rsidR="00614447" w:rsidRPr="00AF7A16" w:rsidRDefault="00614447" w:rsidP="00614447">
            <w:pPr>
              <w:spacing w:after="0" w:line="240" w:lineRule="auto"/>
              <w:ind w:left="142"/>
              <w:rPr>
                <w:rFonts w:cs="Arial"/>
              </w:rPr>
            </w:pPr>
          </w:p>
          <w:p w14:paraId="4719AEB2" w14:textId="77777777" w:rsidR="00614447" w:rsidRPr="00AF7A16" w:rsidRDefault="00614447" w:rsidP="00614447">
            <w:pPr>
              <w:pStyle w:val="NormalWeb"/>
              <w:rPr>
                <w:rFonts w:ascii="Arial" w:hAnsi="Arial" w:cs="Arial"/>
              </w:rPr>
            </w:pPr>
            <w:r w:rsidRPr="00AF7A16">
              <w:rPr>
                <w:rFonts w:ascii="Arial" w:hAnsi="Arial" w:cs="Arial"/>
              </w:rPr>
              <w:t>The difference between equality and equity must be emphasised. Although both promote fairness, equality achieves this through treating everyone the same regardless of need, while equity achieves this through treating people differently dependent on need. However, this different treatment may be the key to reaching equality.</w:t>
            </w:r>
          </w:p>
          <w:p w14:paraId="3F4FBC6E" w14:textId="77777777" w:rsidR="00614447" w:rsidRPr="00AF7A16" w:rsidRDefault="00614447" w:rsidP="00614447">
            <w:pPr>
              <w:pStyle w:val="NormalWeb"/>
              <w:rPr>
                <w:rFonts w:ascii="Arial" w:hAnsi="Arial" w:cs="Arial"/>
              </w:rPr>
            </w:pPr>
            <w:r w:rsidRPr="00AF7A16">
              <w:rPr>
                <w:rFonts w:ascii="Arial" w:hAnsi="Arial" w:cs="Arial"/>
              </w:rPr>
              <w:t>Fairness through equality would mean giving all students the same level of support. However, those who need more support beyond this initial level to succeed would therefore not have equal opportunities to those who do not.</w:t>
            </w:r>
          </w:p>
          <w:p w14:paraId="70FC92A9" w14:textId="77777777" w:rsidR="00614447" w:rsidRPr="00AF7A16" w:rsidRDefault="00614447" w:rsidP="00614447">
            <w:pPr>
              <w:rPr>
                <w:rFonts w:cs="Arial"/>
              </w:rPr>
            </w:pPr>
            <w:r w:rsidRPr="00AF7A16">
              <w:rPr>
                <w:rFonts w:cs="Arial"/>
              </w:rPr>
              <w:t>When making decisions about using Pupil Premium funding it is important to consider the context of the school and the subsequent challenges faced. Research conducted by EEF should then be used to support decisions around the usefulness of different strategies and their value for money.</w:t>
            </w:r>
          </w:p>
          <w:p w14:paraId="24936145" w14:textId="5C7EE7CB" w:rsidR="00614447" w:rsidRPr="00AF7A16" w:rsidRDefault="00614447" w:rsidP="00614447">
            <w:pPr>
              <w:spacing w:before="120"/>
              <w:rPr>
                <w:rFonts w:cs="Arial"/>
                <w:i/>
                <w:iCs/>
              </w:rPr>
            </w:pPr>
            <w:r w:rsidRPr="00AF7A16">
              <w:rPr>
                <w:rFonts w:cs="Arial"/>
              </w:rPr>
              <w:t xml:space="preserve">Common barriers to learning for disadvantaged children in our context include: an attainment gap between disadvantaged and non-disadvantaged pupils when they arrive from primary; multiple vulnerabilities in the disadvantaged cohort e.g. </w:t>
            </w:r>
            <w:r w:rsidR="00E27B35">
              <w:rPr>
                <w:rFonts w:cs="Arial"/>
              </w:rPr>
              <w:t>CLA</w:t>
            </w:r>
            <w:r w:rsidRPr="00AF7A16">
              <w:rPr>
                <w:rFonts w:cs="Arial"/>
              </w:rPr>
              <w:t>, SEN and lower reading ages; additional needs e.g. SEN and access to extra-curricular activities; lower attendance for disadvantages learners.</w:t>
            </w:r>
          </w:p>
          <w:p w14:paraId="450761EB" w14:textId="77777777" w:rsidR="000574D0" w:rsidRPr="00AF7A16" w:rsidRDefault="000574D0" w:rsidP="000574D0">
            <w:pPr>
              <w:rPr>
                <w:rFonts w:cs="Arial"/>
              </w:rPr>
            </w:pPr>
            <w:r w:rsidRPr="00AF7A16">
              <w:rPr>
                <w:rFonts w:cs="Arial"/>
              </w:rPr>
              <w:t>Our ultimate objectives are:</w:t>
            </w:r>
          </w:p>
          <w:p w14:paraId="474443A5" w14:textId="77777777" w:rsidR="000574D0" w:rsidRPr="00AF7A16" w:rsidRDefault="000574D0" w:rsidP="000574D0">
            <w:pPr>
              <w:pStyle w:val="ListParagraph"/>
              <w:numPr>
                <w:ilvl w:val="0"/>
                <w:numId w:val="14"/>
              </w:numPr>
              <w:rPr>
                <w:rFonts w:cs="Arial"/>
              </w:rPr>
            </w:pPr>
            <w:r w:rsidRPr="00AF7A16">
              <w:rPr>
                <w:rFonts w:cs="Arial"/>
              </w:rPr>
              <w:t>To narrow the attainment gap between disadvantaged and non-disadvantaged pupils.</w:t>
            </w:r>
          </w:p>
          <w:p w14:paraId="20E3F187" w14:textId="77777777" w:rsidR="000574D0" w:rsidRPr="00AF7A16" w:rsidRDefault="000574D0" w:rsidP="000574D0">
            <w:pPr>
              <w:pStyle w:val="ListParagraph"/>
              <w:numPr>
                <w:ilvl w:val="0"/>
                <w:numId w:val="14"/>
              </w:numPr>
              <w:rPr>
                <w:rFonts w:cs="Arial"/>
              </w:rPr>
            </w:pPr>
            <w:r w:rsidRPr="00AF7A16">
              <w:rPr>
                <w:rFonts w:cs="Arial"/>
              </w:rPr>
              <w:t>For all disadvantaged pupils in school to make or exceed nationally expected progress rates.</w:t>
            </w:r>
          </w:p>
          <w:p w14:paraId="63B580B0" w14:textId="77777777" w:rsidR="000574D0" w:rsidRPr="00AF7A16" w:rsidRDefault="000574D0" w:rsidP="000574D0">
            <w:pPr>
              <w:pStyle w:val="ListParagraph"/>
              <w:numPr>
                <w:ilvl w:val="0"/>
                <w:numId w:val="14"/>
              </w:numPr>
              <w:rPr>
                <w:rFonts w:cs="Arial"/>
              </w:rPr>
            </w:pPr>
            <w:r w:rsidRPr="00AF7A16">
              <w:rPr>
                <w:rFonts w:cs="Arial"/>
              </w:rPr>
              <w:t>To support our children’s health and wellbeing to enable them to access learning at an appropriate level.</w:t>
            </w:r>
          </w:p>
          <w:p w14:paraId="4516C611" w14:textId="77777777" w:rsidR="000574D0" w:rsidRPr="00AF7A16" w:rsidRDefault="000574D0" w:rsidP="000574D0">
            <w:pPr>
              <w:pStyle w:val="ListParagraph"/>
              <w:numPr>
                <w:ilvl w:val="0"/>
                <w:numId w:val="14"/>
              </w:numPr>
              <w:rPr>
                <w:rFonts w:cs="Arial"/>
              </w:rPr>
            </w:pPr>
            <w:r w:rsidRPr="00AF7A16">
              <w:rPr>
                <w:rFonts w:cs="Arial"/>
              </w:rPr>
              <w:t>To ensure that disadvantaged pupils have the same opportunities for enrichment as non-disadvantaged pupils</w:t>
            </w:r>
          </w:p>
          <w:p w14:paraId="15B943C2" w14:textId="77777777" w:rsidR="000574D0" w:rsidRPr="00AF7A16" w:rsidRDefault="000574D0" w:rsidP="000574D0">
            <w:pPr>
              <w:rPr>
                <w:rFonts w:cs="Arial"/>
              </w:rPr>
            </w:pPr>
            <w:r w:rsidRPr="00AF7A16">
              <w:rPr>
                <w:rFonts w:cs="Arial"/>
              </w:rPr>
              <w:t>We aim to do this through</w:t>
            </w:r>
          </w:p>
          <w:p w14:paraId="7F692B2F" w14:textId="77777777" w:rsidR="00614447" w:rsidRPr="00AF7A16" w:rsidRDefault="000574D0" w:rsidP="000574D0">
            <w:pPr>
              <w:pStyle w:val="ListParagraph"/>
              <w:numPr>
                <w:ilvl w:val="0"/>
                <w:numId w:val="16"/>
              </w:numPr>
              <w:spacing w:before="120"/>
              <w:rPr>
                <w:rStyle w:val="PlaceholderText"/>
                <w:rFonts w:cs="Arial"/>
                <w:i/>
                <w:iCs/>
                <w:color w:val="0D0D0D"/>
              </w:rPr>
            </w:pPr>
            <w:r w:rsidRPr="00AF7A16">
              <w:rPr>
                <w:rStyle w:val="PlaceholderText"/>
                <w:rFonts w:cs="Arial"/>
                <w:color w:val="000000" w:themeColor="text1"/>
              </w:rPr>
              <w:t>Quality teaching which us developed through bespoke CPD and monitoring for ECTs, provision of smaller class sizes, specialist TA support, a rigorous CPD programme</w:t>
            </w:r>
          </w:p>
          <w:p w14:paraId="00AAB5BF" w14:textId="77777777" w:rsidR="000574D0" w:rsidRPr="00AF7A16" w:rsidRDefault="000574D0" w:rsidP="000574D0">
            <w:pPr>
              <w:pStyle w:val="ListParagraph"/>
              <w:numPr>
                <w:ilvl w:val="0"/>
                <w:numId w:val="16"/>
              </w:numPr>
              <w:spacing w:before="120"/>
              <w:rPr>
                <w:rStyle w:val="PlaceholderText"/>
                <w:rFonts w:cs="Arial"/>
                <w:i/>
                <w:iCs/>
                <w:color w:val="0D0D0D"/>
              </w:rPr>
            </w:pPr>
            <w:r w:rsidRPr="00AF7A16">
              <w:rPr>
                <w:rStyle w:val="PlaceholderText"/>
                <w:rFonts w:cs="Arial"/>
                <w:color w:val="000000" w:themeColor="text1"/>
              </w:rPr>
              <w:t xml:space="preserve">Ensuring access to a variety of opportunities for disadvantaged pupils through the provision of lunchtime and afterschool clubs </w:t>
            </w:r>
          </w:p>
          <w:p w14:paraId="3198F2E5" w14:textId="3953B85A" w:rsidR="00E66558" w:rsidRPr="00AF7A16" w:rsidRDefault="000574D0" w:rsidP="00AF7A16">
            <w:pPr>
              <w:pStyle w:val="ListParagraph"/>
              <w:numPr>
                <w:ilvl w:val="0"/>
                <w:numId w:val="16"/>
              </w:numPr>
              <w:spacing w:before="120"/>
              <w:rPr>
                <w:rFonts w:cs="Arial"/>
                <w:i/>
                <w:iCs/>
                <w:highlight w:val="yellow"/>
              </w:rPr>
            </w:pPr>
            <w:r w:rsidRPr="00AF7A16">
              <w:rPr>
                <w:rStyle w:val="PlaceholderText"/>
                <w:rFonts w:cs="Arial"/>
                <w:color w:val="000000" w:themeColor="text1"/>
              </w:rPr>
              <w:t>Academic mentoring, pastoral mentoring, rigorous tracking and monitoring of pupil attainment, careers advice and rigorous attendance tracking.</w:t>
            </w:r>
            <w:r w:rsidRPr="00AF7A16">
              <w:rPr>
                <w:rStyle w:val="BodyTextIndentChar"/>
                <w:rFonts w:cs="Arial"/>
                <w:color w:val="000000" w:themeColor="text1"/>
              </w:rPr>
              <w:t xml:space="preserve"> </w:t>
            </w:r>
          </w:p>
        </w:tc>
      </w:tr>
    </w:tbl>
    <w:p w14:paraId="6265D744" w14:textId="77777777" w:rsidR="00E66558" w:rsidRDefault="009D71E8">
      <w:pPr>
        <w:pStyle w:val="Heading2"/>
        <w:spacing w:before="600"/>
      </w:pPr>
      <w:r>
        <w:t>Challenges</w:t>
      </w:r>
    </w:p>
    <w:p w14:paraId="78003799"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5BEDF00D"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B61D800"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A855BD" w14:textId="77777777" w:rsidR="00E66558" w:rsidRDefault="009D71E8">
            <w:pPr>
              <w:pStyle w:val="TableHeader"/>
              <w:jc w:val="left"/>
            </w:pPr>
            <w:r>
              <w:t xml:space="preserve">Detail of challenge </w:t>
            </w:r>
          </w:p>
        </w:tc>
      </w:tr>
      <w:tr w:rsidR="00E66558" w14:paraId="2CB85F6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F0BFF" w14:textId="77777777" w:rsidR="00E66558" w:rsidRPr="00904D45" w:rsidRDefault="009D71E8">
            <w:pPr>
              <w:pStyle w:val="TableRow"/>
            </w:pPr>
            <w:r w:rsidRPr="00904D45">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759" w14:textId="63082993" w:rsidR="00E66558" w:rsidRPr="00904D45" w:rsidRDefault="000574D0" w:rsidP="000574D0">
            <w:pPr>
              <w:pStyle w:val="TableRowCentered"/>
              <w:ind w:left="0"/>
              <w:jc w:val="left"/>
              <w:rPr>
                <w:szCs w:val="24"/>
              </w:rPr>
            </w:pPr>
            <w:r w:rsidRPr="00904D45">
              <w:rPr>
                <w:iCs/>
                <w:szCs w:val="24"/>
              </w:rPr>
              <w:t>Poor parental engagement with school including homework and reading</w:t>
            </w:r>
            <w:r w:rsidR="003E17FA">
              <w:rPr>
                <w:iCs/>
                <w:szCs w:val="24"/>
              </w:rPr>
              <w:t>.</w:t>
            </w:r>
          </w:p>
        </w:tc>
      </w:tr>
      <w:tr w:rsidR="00E66558" w14:paraId="21AF5D0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342F" w14:textId="77777777" w:rsidR="00E66558" w:rsidRPr="00904D45" w:rsidRDefault="009D71E8">
            <w:pPr>
              <w:pStyle w:val="TableRow"/>
            </w:pPr>
            <w:r w:rsidRPr="00904D45">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BE46" w14:textId="2C6969AF" w:rsidR="00E66558" w:rsidRPr="00904D45" w:rsidRDefault="000574D0" w:rsidP="000574D0">
            <w:pPr>
              <w:pStyle w:val="TableRowCentered"/>
              <w:ind w:left="0"/>
              <w:jc w:val="left"/>
              <w:rPr>
                <w:szCs w:val="24"/>
              </w:rPr>
            </w:pPr>
            <w:r w:rsidRPr="00904D45">
              <w:rPr>
                <w:szCs w:val="24"/>
              </w:rPr>
              <w:t>Narrowing the attainment gap</w:t>
            </w:r>
            <w:r w:rsidR="003E17FA">
              <w:rPr>
                <w:szCs w:val="24"/>
              </w:rPr>
              <w:t xml:space="preserve"> with Maths &amp; English.</w:t>
            </w:r>
          </w:p>
        </w:tc>
      </w:tr>
      <w:tr w:rsidR="00E66558" w14:paraId="1172055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5220" w14:textId="77777777" w:rsidR="00E66558" w:rsidRPr="00904D45" w:rsidRDefault="009D71E8">
            <w:pPr>
              <w:pStyle w:val="TableRow"/>
            </w:pPr>
            <w:r w:rsidRPr="00904D45">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87B60" w14:textId="77777777" w:rsidR="00E66558" w:rsidRPr="00904D45" w:rsidRDefault="000574D0" w:rsidP="000574D0">
            <w:pPr>
              <w:pStyle w:val="TableRowCentered"/>
              <w:ind w:left="0"/>
              <w:jc w:val="left"/>
              <w:rPr>
                <w:szCs w:val="24"/>
              </w:rPr>
            </w:pPr>
            <w:r w:rsidRPr="00904D45">
              <w:rPr>
                <w:szCs w:val="24"/>
              </w:rPr>
              <w:t>Attendance and punctuality concerns</w:t>
            </w:r>
          </w:p>
        </w:tc>
      </w:tr>
      <w:tr w:rsidR="00E66558" w14:paraId="7155F38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B0EC" w14:textId="77777777" w:rsidR="00E66558" w:rsidRPr="00904D45" w:rsidRDefault="009D71E8">
            <w:pPr>
              <w:pStyle w:val="TableRow"/>
            </w:pPr>
            <w:r w:rsidRPr="00904D45">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312A" w14:textId="77777777" w:rsidR="00E66558" w:rsidRPr="00904D45" w:rsidRDefault="000574D0" w:rsidP="000574D0">
            <w:pPr>
              <w:pStyle w:val="TableRowCentered"/>
              <w:ind w:left="0"/>
              <w:jc w:val="left"/>
              <w:rPr>
                <w:iCs/>
                <w:szCs w:val="24"/>
              </w:rPr>
            </w:pPr>
            <w:r w:rsidRPr="00904D45">
              <w:rPr>
                <w:iCs/>
                <w:szCs w:val="24"/>
              </w:rPr>
              <w:t>Lack of access to enrichment</w:t>
            </w:r>
          </w:p>
        </w:tc>
      </w:tr>
      <w:tr w:rsidR="00E66558" w14:paraId="274651D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184D" w14:textId="77777777" w:rsidR="00E66558" w:rsidRPr="00904D45" w:rsidRDefault="009D71E8">
            <w:pPr>
              <w:pStyle w:val="TableRow"/>
            </w:pPr>
            <w:bookmarkStart w:id="16" w:name="_Toc443397160"/>
            <w:r w:rsidRPr="00904D45">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F381" w14:textId="70994C41" w:rsidR="00E66558" w:rsidRPr="00904D45" w:rsidRDefault="000574D0">
            <w:pPr>
              <w:pStyle w:val="TableRowCentered"/>
              <w:jc w:val="left"/>
              <w:rPr>
                <w:iCs/>
                <w:szCs w:val="24"/>
              </w:rPr>
            </w:pPr>
            <w:r w:rsidRPr="00904D45">
              <w:rPr>
                <w:iCs/>
                <w:szCs w:val="24"/>
              </w:rPr>
              <w:t xml:space="preserve">Multiple vulnerabilities within the cohort: </w:t>
            </w:r>
            <w:r w:rsidRPr="00904D45">
              <w:rPr>
                <w:rFonts w:cs="Arial"/>
                <w:szCs w:val="24"/>
              </w:rPr>
              <w:t>LAC, SEN and lower reading ages</w:t>
            </w:r>
            <w:r w:rsidR="00C80998">
              <w:rPr>
                <w:rFonts w:cs="Arial"/>
                <w:szCs w:val="24"/>
              </w:rPr>
              <w:t xml:space="preserve"> &amp; maths.</w:t>
            </w:r>
          </w:p>
        </w:tc>
      </w:tr>
    </w:tbl>
    <w:p w14:paraId="4FBD6A02" w14:textId="77777777" w:rsidR="00E66558" w:rsidRDefault="009D71E8">
      <w:pPr>
        <w:pStyle w:val="Heading2"/>
        <w:spacing w:before="600"/>
      </w:pPr>
      <w:r>
        <w:t xml:space="preserve">Intended outcomes </w:t>
      </w:r>
    </w:p>
    <w:p w14:paraId="3098B993"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3507EC76"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E1416FD"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C2D8E8" w14:textId="77777777" w:rsidR="00E66558" w:rsidRDefault="009D71E8">
            <w:pPr>
              <w:pStyle w:val="TableHeader"/>
              <w:jc w:val="left"/>
            </w:pPr>
            <w:r>
              <w:t>Success criteria</w:t>
            </w:r>
          </w:p>
        </w:tc>
      </w:tr>
      <w:tr w:rsidR="00E66558" w14:paraId="02E115D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3CD8" w14:textId="77777777" w:rsidR="00E66558" w:rsidRPr="00904D45" w:rsidRDefault="00755DCF">
            <w:pPr>
              <w:pStyle w:val="TableRow"/>
            </w:pPr>
            <w:r w:rsidRPr="00904D45">
              <w:rPr>
                <w:iCs/>
              </w:rPr>
              <w:t>Narrow the attainment gap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D302" w14:textId="77777777" w:rsidR="00E66558" w:rsidRPr="00904D45" w:rsidRDefault="00755DCF">
            <w:pPr>
              <w:pStyle w:val="TableRowCentered"/>
              <w:jc w:val="left"/>
              <w:rPr>
                <w:rStyle w:val="PlaceholderText"/>
                <w:color w:val="000000" w:themeColor="text1"/>
                <w:szCs w:val="24"/>
              </w:rPr>
            </w:pPr>
            <w:r w:rsidRPr="00904D45">
              <w:rPr>
                <w:rStyle w:val="PlaceholderText"/>
                <w:color w:val="000000" w:themeColor="text1"/>
                <w:szCs w:val="24"/>
              </w:rPr>
              <w:t>Achieve in line with national average for attainment for disadvantaged pupils</w:t>
            </w:r>
          </w:p>
          <w:p w14:paraId="366CB178" w14:textId="77777777" w:rsidR="00755DCF" w:rsidRPr="00904D45" w:rsidRDefault="00755DCF">
            <w:pPr>
              <w:pStyle w:val="TableRowCentered"/>
              <w:jc w:val="left"/>
              <w:rPr>
                <w:szCs w:val="24"/>
              </w:rPr>
            </w:pPr>
            <w:r w:rsidRPr="00904D45">
              <w:rPr>
                <w:rStyle w:val="PlaceholderText"/>
                <w:color w:val="000000" w:themeColor="text1"/>
                <w:szCs w:val="24"/>
              </w:rPr>
              <w:t>% of grade 5+ in English and Maths to be within 10% of non-disadvantaged pupils</w:t>
            </w:r>
          </w:p>
        </w:tc>
      </w:tr>
      <w:tr w:rsidR="00E66558" w14:paraId="264136A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E3BA" w14:textId="77777777" w:rsidR="00E66558" w:rsidRPr="00904D45" w:rsidRDefault="00755DCF">
            <w:pPr>
              <w:pStyle w:val="TableRow"/>
            </w:pPr>
            <w:r w:rsidRPr="00904D45">
              <w:t xml:space="preserve">All pupils access a curriculum which best prepares them for post-16 life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0B66" w14:textId="77777777" w:rsidR="00E66558" w:rsidRPr="00904D45" w:rsidRDefault="00755DCF">
            <w:pPr>
              <w:pStyle w:val="TableRowCentered"/>
              <w:jc w:val="left"/>
              <w:rPr>
                <w:rFonts w:cs="Calibri"/>
                <w:color w:val="000000" w:themeColor="text1"/>
                <w:szCs w:val="24"/>
              </w:rPr>
            </w:pPr>
            <w:r w:rsidRPr="00904D45">
              <w:rPr>
                <w:rFonts w:cs="Calibri"/>
                <w:color w:val="000000" w:themeColor="text1"/>
                <w:szCs w:val="24"/>
              </w:rPr>
              <w:t xml:space="preserve">Better than national average % entry for </w:t>
            </w:r>
            <w:proofErr w:type="spellStart"/>
            <w:r w:rsidRPr="00904D45">
              <w:rPr>
                <w:rFonts w:cs="Calibri"/>
                <w:color w:val="000000" w:themeColor="text1"/>
                <w:szCs w:val="24"/>
              </w:rPr>
              <w:t>Ebacc</w:t>
            </w:r>
            <w:proofErr w:type="spellEnd"/>
            <w:r w:rsidRPr="00904D45">
              <w:rPr>
                <w:rFonts w:cs="Calibri"/>
                <w:color w:val="000000" w:themeColor="text1"/>
                <w:szCs w:val="24"/>
              </w:rPr>
              <w:t xml:space="preserve"> for disadvantaged pupils</w:t>
            </w:r>
          </w:p>
          <w:p w14:paraId="32E214B5" w14:textId="77777777" w:rsidR="00755DCF" w:rsidRPr="00904D45" w:rsidRDefault="00755DCF">
            <w:pPr>
              <w:pStyle w:val="TableRowCentered"/>
              <w:jc w:val="left"/>
              <w:rPr>
                <w:szCs w:val="24"/>
              </w:rPr>
            </w:pPr>
            <w:r w:rsidRPr="00904D45">
              <w:rPr>
                <w:szCs w:val="24"/>
              </w:rPr>
              <w:t>All pupils will experience a broad curriculum</w:t>
            </w:r>
          </w:p>
        </w:tc>
      </w:tr>
      <w:tr w:rsidR="00E66558" w14:paraId="3F210CB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6DEB" w14:textId="6C9E61C1" w:rsidR="00E66558" w:rsidRPr="00904D45" w:rsidRDefault="00755DCF">
            <w:pPr>
              <w:pStyle w:val="TableRow"/>
            </w:pPr>
            <w:r w:rsidRPr="00904D45">
              <w:t>Narrow the reading age gap</w:t>
            </w:r>
            <w:r w:rsidR="00AF7A16">
              <w:t xml:space="preserve"> and supporting with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A962" w14:textId="5323A170" w:rsidR="00E66558" w:rsidRPr="00904D45" w:rsidRDefault="00755DCF">
            <w:pPr>
              <w:pStyle w:val="TableRowCentered"/>
              <w:jc w:val="left"/>
              <w:rPr>
                <w:szCs w:val="24"/>
              </w:rPr>
            </w:pPr>
            <w:r w:rsidRPr="00904D45">
              <w:rPr>
                <w:szCs w:val="24"/>
              </w:rPr>
              <w:t>Reduce the number of pupils who do not meet the functional literacy threshold</w:t>
            </w:r>
            <w:r w:rsidR="00AF7A16">
              <w:rPr>
                <w:szCs w:val="24"/>
              </w:rPr>
              <w:t xml:space="preserve">. </w:t>
            </w:r>
            <w:r w:rsidR="00AF7A16">
              <w:t>Increasing engagement and attainment with maths provision’s</w:t>
            </w:r>
          </w:p>
        </w:tc>
      </w:tr>
      <w:tr w:rsidR="00E66558" w14:paraId="53ABBD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18279" w14:textId="77777777" w:rsidR="00E66558" w:rsidRPr="00904D45" w:rsidRDefault="00755DCF">
            <w:pPr>
              <w:pStyle w:val="TableRow"/>
            </w:pPr>
            <w:r w:rsidRPr="00904D45">
              <w:rPr>
                <w:rStyle w:val="PlaceholderText"/>
                <w:color w:val="000000" w:themeColor="text1"/>
              </w:rPr>
              <w:t>Attendance gap will continue to diminish and be in line with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74C6C" w14:textId="77777777" w:rsidR="00E66558" w:rsidRPr="00904D45" w:rsidRDefault="00755DCF">
            <w:pPr>
              <w:pStyle w:val="TableRowCentered"/>
              <w:jc w:val="left"/>
              <w:rPr>
                <w:szCs w:val="24"/>
              </w:rPr>
            </w:pPr>
            <w:r w:rsidRPr="00904D45">
              <w:rPr>
                <w:rStyle w:val="PlaceholderText"/>
                <w:color w:val="000000" w:themeColor="text1"/>
                <w:szCs w:val="24"/>
              </w:rPr>
              <w:t>Attendance gap will continue to diminish and be in line with non-disadvantaged pupils</w:t>
            </w:r>
          </w:p>
        </w:tc>
      </w:tr>
    </w:tbl>
    <w:p w14:paraId="7E9D30E5" w14:textId="77777777" w:rsidR="00120AB1" w:rsidRDefault="00120AB1">
      <w:pPr>
        <w:pStyle w:val="Heading2"/>
      </w:pPr>
    </w:p>
    <w:p w14:paraId="6F69AFB5" w14:textId="77777777" w:rsidR="00120AB1" w:rsidRDefault="00120AB1">
      <w:pPr>
        <w:suppressAutoHyphens w:val="0"/>
        <w:spacing w:after="0" w:line="240" w:lineRule="auto"/>
        <w:rPr>
          <w:b/>
          <w:color w:val="104F75"/>
          <w:sz w:val="32"/>
          <w:szCs w:val="32"/>
        </w:rPr>
      </w:pPr>
      <w:r>
        <w:br w:type="page"/>
      </w:r>
    </w:p>
    <w:p w14:paraId="4486AFF6" w14:textId="77777777" w:rsidR="00E66558" w:rsidRDefault="009D71E8">
      <w:pPr>
        <w:pStyle w:val="Heading2"/>
      </w:pPr>
      <w:r>
        <w:t>Activity in this academic year</w:t>
      </w:r>
    </w:p>
    <w:p w14:paraId="7E1937EC"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883447C" w14:textId="77777777" w:rsidR="00E66558" w:rsidRDefault="009D71E8">
      <w:pPr>
        <w:pStyle w:val="Heading3"/>
      </w:pPr>
      <w:r>
        <w:t>Teaching (for example, CPD, recruitment and retention)</w:t>
      </w:r>
    </w:p>
    <w:p w14:paraId="4EE70451" w14:textId="115471FC" w:rsidR="00E66558" w:rsidRDefault="009D71E8">
      <w:pPr>
        <w:rPr>
          <w:highlight w:val="green"/>
        </w:rPr>
      </w:pPr>
      <w:r w:rsidRPr="00C80998">
        <w:rPr>
          <w:highlight w:val="green"/>
        </w:rPr>
        <w:t>Budgeted cost: £</w:t>
      </w:r>
      <w:r w:rsidR="00B00F75" w:rsidRPr="00C80998">
        <w:rPr>
          <w:highlight w:val="green"/>
        </w:rPr>
        <w:t>18,899.40</w:t>
      </w:r>
    </w:p>
    <w:tbl>
      <w:tblPr>
        <w:tblStyle w:val="TableGrid"/>
        <w:tblW w:w="10774" w:type="dxa"/>
        <w:tblInd w:w="-431" w:type="dxa"/>
        <w:tblLook w:val="04A0" w:firstRow="1" w:lastRow="0" w:firstColumn="1" w:lastColumn="0" w:noHBand="0" w:noVBand="1"/>
      </w:tblPr>
      <w:tblGrid>
        <w:gridCol w:w="2108"/>
        <w:gridCol w:w="6059"/>
        <w:gridCol w:w="2607"/>
      </w:tblGrid>
      <w:tr w:rsidR="00C80998" w:rsidRPr="00C80998" w14:paraId="18BDD6BD" w14:textId="77777777" w:rsidTr="00C80998">
        <w:tc>
          <w:tcPr>
            <w:tcW w:w="2108" w:type="dxa"/>
            <w:shd w:val="clear" w:color="auto" w:fill="B8CCE4" w:themeFill="accent1" w:themeFillTint="66"/>
            <w:hideMark/>
          </w:tcPr>
          <w:p w14:paraId="154C7C6B" w14:textId="77777777" w:rsidR="00C80998" w:rsidRPr="00C80998" w:rsidRDefault="00C80998" w:rsidP="00C80998">
            <w:pPr>
              <w:suppressAutoHyphens w:val="0"/>
              <w:autoSpaceDN/>
              <w:spacing w:after="0" w:line="240" w:lineRule="auto"/>
              <w:jc w:val="center"/>
              <w:rPr>
                <w:rFonts w:cs="Arial"/>
                <w:b/>
                <w:bCs/>
                <w:color w:val="auto"/>
              </w:rPr>
            </w:pPr>
            <w:r w:rsidRPr="00C80998">
              <w:rPr>
                <w:rFonts w:cs="Arial"/>
                <w:b/>
                <w:bCs/>
                <w:color w:val="auto"/>
              </w:rPr>
              <w:t>Activity</w:t>
            </w:r>
          </w:p>
        </w:tc>
        <w:tc>
          <w:tcPr>
            <w:tcW w:w="0" w:type="auto"/>
            <w:shd w:val="clear" w:color="auto" w:fill="B8CCE4" w:themeFill="accent1" w:themeFillTint="66"/>
            <w:hideMark/>
          </w:tcPr>
          <w:p w14:paraId="324DC7AC" w14:textId="77777777" w:rsidR="00C80998" w:rsidRPr="00C80998" w:rsidRDefault="00C80998" w:rsidP="00C80998">
            <w:pPr>
              <w:suppressAutoHyphens w:val="0"/>
              <w:autoSpaceDN/>
              <w:spacing w:after="0" w:line="240" w:lineRule="auto"/>
              <w:jc w:val="center"/>
              <w:rPr>
                <w:rFonts w:cs="Arial"/>
                <w:b/>
                <w:bCs/>
                <w:color w:val="auto"/>
              </w:rPr>
            </w:pPr>
            <w:r w:rsidRPr="00C80998">
              <w:rPr>
                <w:rFonts w:cs="Arial"/>
                <w:b/>
                <w:bCs/>
                <w:color w:val="auto"/>
              </w:rPr>
              <w:t>Evidence that supports this approach</w:t>
            </w:r>
          </w:p>
        </w:tc>
        <w:tc>
          <w:tcPr>
            <w:tcW w:w="2607" w:type="dxa"/>
            <w:shd w:val="clear" w:color="auto" w:fill="B8CCE4" w:themeFill="accent1" w:themeFillTint="66"/>
            <w:hideMark/>
          </w:tcPr>
          <w:p w14:paraId="6CF1F12A" w14:textId="77777777" w:rsidR="00C80998" w:rsidRPr="00C80998" w:rsidRDefault="00C80998" w:rsidP="00C80998">
            <w:pPr>
              <w:suppressAutoHyphens w:val="0"/>
              <w:autoSpaceDN/>
              <w:spacing w:after="0" w:line="240" w:lineRule="auto"/>
              <w:jc w:val="center"/>
              <w:rPr>
                <w:rFonts w:cs="Arial"/>
                <w:b/>
                <w:bCs/>
                <w:color w:val="auto"/>
              </w:rPr>
            </w:pPr>
            <w:r w:rsidRPr="00C80998">
              <w:rPr>
                <w:rFonts w:cs="Arial"/>
                <w:b/>
                <w:bCs/>
                <w:color w:val="auto"/>
              </w:rPr>
              <w:t>Challenge number(s) addressed</w:t>
            </w:r>
          </w:p>
        </w:tc>
      </w:tr>
      <w:tr w:rsidR="00C80998" w:rsidRPr="00C80998" w14:paraId="76B6278B" w14:textId="77777777" w:rsidTr="00C80998">
        <w:tc>
          <w:tcPr>
            <w:tcW w:w="2108" w:type="dxa"/>
            <w:hideMark/>
          </w:tcPr>
          <w:p w14:paraId="45E3DB83"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Marking Disadvantaged Students First</w:t>
            </w:r>
          </w:p>
        </w:tc>
        <w:tc>
          <w:tcPr>
            <w:tcW w:w="0" w:type="auto"/>
            <w:hideMark/>
          </w:tcPr>
          <w:p w14:paraId="51691C09"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EEF research shows that prompt, high-quality feedback is linked to improved student outcomes, enhancing both engagement and learning progress. Prioritising disadvantaged students helps close attainment gaps.</w:t>
            </w:r>
          </w:p>
        </w:tc>
        <w:tc>
          <w:tcPr>
            <w:tcW w:w="2607" w:type="dxa"/>
            <w:hideMark/>
          </w:tcPr>
          <w:p w14:paraId="4865713E"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2</w:t>
            </w:r>
          </w:p>
        </w:tc>
      </w:tr>
      <w:tr w:rsidR="00C80998" w:rsidRPr="00C80998" w14:paraId="75073B2C" w14:textId="77777777" w:rsidTr="00C80998">
        <w:tc>
          <w:tcPr>
            <w:tcW w:w="2108" w:type="dxa"/>
            <w:hideMark/>
          </w:tcPr>
          <w:p w14:paraId="4517FF66"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Quality First Teaching</w:t>
            </w:r>
          </w:p>
        </w:tc>
        <w:tc>
          <w:tcPr>
            <w:tcW w:w="0" w:type="auto"/>
            <w:hideMark/>
          </w:tcPr>
          <w:p w14:paraId="44ADC84B"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Evidence from EEF indicates that structured teaching approaches like explicit instruction, scaffolding, and targeted feedback can improve student outcomes, particularly for disadvantaged pupils in core subjects.</w:t>
            </w:r>
          </w:p>
        </w:tc>
        <w:tc>
          <w:tcPr>
            <w:tcW w:w="2607" w:type="dxa"/>
            <w:hideMark/>
          </w:tcPr>
          <w:p w14:paraId="59E9AFB9"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2, 3</w:t>
            </w:r>
          </w:p>
        </w:tc>
      </w:tr>
      <w:tr w:rsidR="00C80998" w:rsidRPr="00C80998" w14:paraId="4026708D" w14:textId="77777777" w:rsidTr="00C80998">
        <w:tc>
          <w:tcPr>
            <w:tcW w:w="2108" w:type="dxa"/>
            <w:hideMark/>
          </w:tcPr>
          <w:p w14:paraId="31760790"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Flexible Seating Plans</w:t>
            </w:r>
          </w:p>
        </w:tc>
        <w:tc>
          <w:tcPr>
            <w:tcW w:w="0" w:type="auto"/>
            <w:hideMark/>
          </w:tcPr>
          <w:p w14:paraId="180CED77"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Research supports that strategic seating can foster better classroom engagement by placing students in optimal learning environments based on individual needs.</w:t>
            </w:r>
          </w:p>
        </w:tc>
        <w:tc>
          <w:tcPr>
            <w:tcW w:w="2607" w:type="dxa"/>
            <w:hideMark/>
          </w:tcPr>
          <w:p w14:paraId="42FEB304"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5</w:t>
            </w:r>
          </w:p>
        </w:tc>
      </w:tr>
      <w:tr w:rsidR="00C80998" w:rsidRPr="00C80998" w14:paraId="1424F4F6" w14:textId="77777777" w:rsidTr="00C80998">
        <w:tc>
          <w:tcPr>
            <w:tcW w:w="2108" w:type="dxa"/>
            <w:hideMark/>
          </w:tcPr>
          <w:p w14:paraId="1DB8B1BC"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Professional Development for Staff</w:t>
            </w:r>
          </w:p>
        </w:tc>
        <w:tc>
          <w:tcPr>
            <w:tcW w:w="0" w:type="auto"/>
            <w:hideMark/>
          </w:tcPr>
          <w:p w14:paraId="51872AF9"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EEF findings suggest that ongoing professional development builds teacher capacity, enabling adaptive teaching strategies and improved student outcomes, particularly for disadvantaged groups.</w:t>
            </w:r>
          </w:p>
        </w:tc>
        <w:tc>
          <w:tcPr>
            <w:tcW w:w="2607" w:type="dxa"/>
            <w:hideMark/>
          </w:tcPr>
          <w:p w14:paraId="49887CB5"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1, 2, 5</w:t>
            </w:r>
          </w:p>
        </w:tc>
      </w:tr>
      <w:tr w:rsidR="00C80998" w:rsidRPr="00C80998" w14:paraId="77534405" w14:textId="77777777" w:rsidTr="00C80998">
        <w:tc>
          <w:tcPr>
            <w:tcW w:w="2108" w:type="dxa"/>
            <w:hideMark/>
          </w:tcPr>
          <w:p w14:paraId="68D64699" w14:textId="77777777" w:rsidR="00C80998" w:rsidRPr="00C80998" w:rsidRDefault="00C80998" w:rsidP="00C80998">
            <w:pPr>
              <w:suppressAutoHyphens w:val="0"/>
              <w:autoSpaceDN/>
              <w:spacing w:after="0" w:line="240" w:lineRule="auto"/>
              <w:rPr>
                <w:rFonts w:cs="Arial"/>
                <w:color w:val="auto"/>
              </w:rPr>
            </w:pPr>
            <w:proofErr w:type="spellStart"/>
            <w:r w:rsidRPr="00C80998">
              <w:rPr>
                <w:rFonts w:cs="Arial"/>
                <w:color w:val="auto"/>
              </w:rPr>
              <w:t>Sparx</w:t>
            </w:r>
            <w:proofErr w:type="spellEnd"/>
            <w:r w:rsidRPr="00C80998">
              <w:rPr>
                <w:rFonts w:cs="Arial"/>
                <w:color w:val="auto"/>
              </w:rPr>
              <w:t xml:space="preserve"> Maths Integration</w:t>
            </w:r>
          </w:p>
        </w:tc>
        <w:tc>
          <w:tcPr>
            <w:tcW w:w="0" w:type="auto"/>
            <w:hideMark/>
          </w:tcPr>
          <w:p w14:paraId="7F5F557D"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 xml:space="preserve">Research indicates that personalised learning platforms like </w:t>
            </w:r>
            <w:proofErr w:type="spellStart"/>
            <w:r w:rsidRPr="00C80998">
              <w:rPr>
                <w:rFonts w:cs="Arial"/>
                <w:color w:val="auto"/>
              </w:rPr>
              <w:t>Sparx</w:t>
            </w:r>
            <w:proofErr w:type="spellEnd"/>
            <w:r w:rsidRPr="00C80998">
              <w:rPr>
                <w:rFonts w:cs="Arial"/>
                <w:color w:val="auto"/>
              </w:rPr>
              <w:t xml:space="preserve"> Maths can enhance student engagement and progress through adaptive tasks that address individual learning gaps.</w:t>
            </w:r>
          </w:p>
        </w:tc>
        <w:tc>
          <w:tcPr>
            <w:tcW w:w="2607" w:type="dxa"/>
            <w:hideMark/>
          </w:tcPr>
          <w:p w14:paraId="075F8A8F"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2</w:t>
            </w:r>
          </w:p>
        </w:tc>
      </w:tr>
      <w:tr w:rsidR="00C80998" w:rsidRPr="00C80998" w14:paraId="7922C46B" w14:textId="77777777" w:rsidTr="00C80998">
        <w:tc>
          <w:tcPr>
            <w:tcW w:w="2108" w:type="dxa"/>
            <w:hideMark/>
          </w:tcPr>
          <w:p w14:paraId="50657D3C" w14:textId="77777777" w:rsidR="00C80998" w:rsidRPr="00C80998" w:rsidRDefault="00C80998" w:rsidP="00C80998">
            <w:pPr>
              <w:suppressAutoHyphens w:val="0"/>
              <w:autoSpaceDN/>
              <w:spacing w:after="0" w:line="240" w:lineRule="auto"/>
              <w:rPr>
                <w:rFonts w:cs="Arial"/>
                <w:color w:val="auto"/>
              </w:rPr>
            </w:pPr>
            <w:proofErr w:type="spellStart"/>
            <w:r w:rsidRPr="00C80998">
              <w:rPr>
                <w:rFonts w:cs="Arial"/>
                <w:color w:val="auto"/>
              </w:rPr>
              <w:t>Lexonik</w:t>
            </w:r>
            <w:proofErr w:type="spellEnd"/>
            <w:r w:rsidRPr="00C80998">
              <w:rPr>
                <w:rFonts w:cs="Arial"/>
                <w:color w:val="auto"/>
              </w:rPr>
              <w:t xml:space="preserve"> Integration</w:t>
            </w:r>
          </w:p>
        </w:tc>
        <w:tc>
          <w:tcPr>
            <w:tcW w:w="0" w:type="auto"/>
            <w:hideMark/>
          </w:tcPr>
          <w:p w14:paraId="608245BB"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 xml:space="preserve">EEF research shows that structured literacy interventions such as </w:t>
            </w:r>
            <w:proofErr w:type="spellStart"/>
            <w:r w:rsidRPr="00C80998">
              <w:rPr>
                <w:rFonts w:cs="Arial"/>
                <w:color w:val="auto"/>
              </w:rPr>
              <w:t>Lexonik</w:t>
            </w:r>
            <w:proofErr w:type="spellEnd"/>
            <w:r w:rsidRPr="00C80998">
              <w:rPr>
                <w:rFonts w:cs="Arial"/>
                <w:color w:val="auto"/>
              </w:rPr>
              <w:t xml:space="preserve"> can significantly improve reading and comprehension skills, particularly for students with lower literacy levels.</w:t>
            </w:r>
          </w:p>
        </w:tc>
        <w:tc>
          <w:tcPr>
            <w:tcW w:w="2607" w:type="dxa"/>
            <w:hideMark/>
          </w:tcPr>
          <w:p w14:paraId="00B9F619" w14:textId="77777777" w:rsidR="00C80998" w:rsidRPr="00C80998" w:rsidRDefault="00C80998" w:rsidP="00C80998">
            <w:pPr>
              <w:suppressAutoHyphens w:val="0"/>
              <w:autoSpaceDN/>
              <w:spacing w:after="0" w:line="240" w:lineRule="auto"/>
              <w:rPr>
                <w:rFonts w:cs="Arial"/>
                <w:color w:val="auto"/>
              </w:rPr>
            </w:pPr>
            <w:r w:rsidRPr="00C80998">
              <w:rPr>
                <w:rFonts w:cs="Arial"/>
                <w:color w:val="auto"/>
              </w:rPr>
              <w:t>2, 5</w:t>
            </w:r>
          </w:p>
        </w:tc>
      </w:tr>
    </w:tbl>
    <w:p w14:paraId="6FA58FDC" w14:textId="77777777" w:rsidR="00C80998" w:rsidRDefault="00C80998"/>
    <w:p w14:paraId="4D2815F0" w14:textId="77777777" w:rsidR="00E66558" w:rsidRDefault="00E66558">
      <w:pPr>
        <w:keepNext/>
        <w:spacing w:after="60"/>
        <w:outlineLvl w:val="1"/>
      </w:pPr>
    </w:p>
    <w:p w14:paraId="55C2E5F1" w14:textId="77777777" w:rsidR="00C80998" w:rsidRDefault="00C80998">
      <w:pPr>
        <w:rPr>
          <w:b/>
          <w:bCs/>
          <w:color w:val="104F75"/>
          <w:sz w:val="28"/>
          <w:szCs w:val="28"/>
        </w:rPr>
      </w:pPr>
    </w:p>
    <w:p w14:paraId="54E87306" w14:textId="77777777" w:rsidR="00C80998" w:rsidRDefault="00C80998">
      <w:pPr>
        <w:rPr>
          <w:b/>
          <w:bCs/>
          <w:color w:val="104F75"/>
          <w:sz w:val="28"/>
          <w:szCs w:val="28"/>
        </w:rPr>
      </w:pPr>
    </w:p>
    <w:p w14:paraId="10EF5A38" w14:textId="77777777" w:rsidR="00C80998" w:rsidRDefault="00C80998">
      <w:pPr>
        <w:rPr>
          <w:b/>
          <w:bCs/>
          <w:color w:val="104F75"/>
          <w:sz w:val="28"/>
          <w:szCs w:val="28"/>
        </w:rPr>
      </w:pPr>
    </w:p>
    <w:p w14:paraId="3DA1AC4D" w14:textId="77777777" w:rsidR="00C80998" w:rsidRDefault="00C80998">
      <w:pPr>
        <w:rPr>
          <w:b/>
          <w:bCs/>
          <w:color w:val="104F75"/>
          <w:sz w:val="28"/>
          <w:szCs w:val="28"/>
        </w:rPr>
      </w:pPr>
    </w:p>
    <w:p w14:paraId="15DE7A59" w14:textId="4964DDE6"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130859DD" w14:textId="546A3DAD" w:rsidR="00E66558" w:rsidRDefault="009D71E8">
      <w:pPr>
        <w:rPr>
          <w:highlight w:val="green"/>
        </w:rPr>
      </w:pPr>
      <w:r w:rsidRPr="00C80998">
        <w:rPr>
          <w:highlight w:val="green"/>
        </w:rPr>
        <w:t xml:space="preserve">Budgeted cost: </w:t>
      </w:r>
      <w:r w:rsidR="00C80998" w:rsidRPr="00C80998">
        <w:rPr>
          <w:highlight w:val="green"/>
        </w:rPr>
        <w:t>£25,448.87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C80998" w:rsidRPr="00C80998" w14:paraId="6CA96EDB" w14:textId="77777777" w:rsidTr="00C8099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604A37" w14:textId="77777777" w:rsidR="00C80998" w:rsidRPr="00C80998" w:rsidRDefault="00C80998" w:rsidP="00C80998">
            <w:pPr>
              <w:pStyle w:val="TableHeader"/>
            </w:pPr>
            <w:r w:rsidRPr="00C80998">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0BE691" w14:textId="77777777" w:rsidR="00C80998" w:rsidRPr="00C80998" w:rsidRDefault="00C80998" w:rsidP="00C80998">
            <w:pPr>
              <w:pStyle w:val="TableHeader"/>
            </w:pPr>
            <w:r w:rsidRPr="00C80998">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990033" w14:textId="77777777" w:rsidR="00C80998" w:rsidRPr="00C80998" w:rsidRDefault="00C80998" w:rsidP="00C80998">
            <w:pPr>
              <w:pStyle w:val="TableHeader"/>
            </w:pPr>
            <w:r w:rsidRPr="00C80998">
              <w:t>Challenge number(s) addressed</w:t>
            </w:r>
          </w:p>
        </w:tc>
      </w:tr>
      <w:tr w:rsidR="00C80998" w:rsidRPr="00C80998" w14:paraId="65848FF2" w14:textId="77777777" w:rsidTr="00C80998">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0EA897" w14:textId="77777777" w:rsidR="00C80998" w:rsidRPr="00C80998" w:rsidRDefault="00C80998" w:rsidP="00C80998">
            <w:pPr>
              <w:pStyle w:val="TableHeader"/>
              <w:jc w:val="both"/>
              <w:rPr>
                <w:b w:val="0"/>
              </w:rPr>
            </w:pPr>
            <w:r w:rsidRPr="00C80998">
              <w:rPr>
                <w:b w:val="0"/>
              </w:rPr>
              <w:t>One-to-One and Small Group Tuition</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668B63" w14:textId="77777777" w:rsidR="00C80998" w:rsidRPr="00C80998" w:rsidRDefault="00C80998" w:rsidP="00C80998">
            <w:pPr>
              <w:pStyle w:val="TableHeader"/>
              <w:jc w:val="both"/>
              <w:rPr>
                <w:b w:val="0"/>
              </w:rPr>
            </w:pPr>
            <w:r w:rsidRPr="00C80998">
              <w:rPr>
                <w:b w:val="0"/>
              </w:rPr>
              <w:t>EEF research suggests that personalised tuition tailored to individual learning needs significantly boosts academic progress in core subjects like Maths and English. Regular, targeted sessions improve understanding and retention.</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4FE2956" w14:textId="77777777" w:rsidR="00C80998" w:rsidRPr="00C80998" w:rsidRDefault="00C80998" w:rsidP="00C80998">
            <w:pPr>
              <w:pStyle w:val="TableHeader"/>
              <w:jc w:val="both"/>
              <w:rPr>
                <w:b w:val="0"/>
              </w:rPr>
            </w:pPr>
            <w:r w:rsidRPr="00C80998">
              <w:rPr>
                <w:b w:val="0"/>
              </w:rPr>
              <w:t>2, 3</w:t>
            </w:r>
          </w:p>
        </w:tc>
      </w:tr>
      <w:tr w:rsidR="00C80998" w:rsidRPr="00C80998" w14:paraId="5FE77D8B" w14:textId="77777777" w:rsidTr="00C80998">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933099" w14:textId="77777777" w:rsidR="00C80998" w:rsidRPr="00C80998" w:rsidRDefault="00C80998" w:rsidP="00C80998">
            <w:pPr>
              <w:pStyle w:val="TableHeader"/>
              <w:jc w:val="both"/>
              <w:rPr>
                <w:b w:val="0"/>
              </w:rPr>
            </w:pPr>
            <w:r w:rsidRPr="00C80998">
              <w:rPr>
                <w:b w:val="0"/>
              </w:rPr>
              <w:t>Peer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BC36D3" w14:textId="77777777" w:rsidR="00C80998" w:rsidRPr="00C80998" w:rsidRDefault="00C80998" w:rsidP="00C80998">
            <w:pPr>
              <w:pStyle w:val="TableHeader"/>
              <w:jc w:val="both"/>
              <w:rPr>
                <w:b w:val="0"/>
              </w:rPr>
            </w:pPr>
            <w:r w:rsidRPr="00C80998">
              <w:rPr>
                <w:b w:val="0"/>
              </w:rPr>
              <w:t>Peer tutoring is evidenced by EEF as fostering both academic and social development, creating a collaborative learning environment that supports students' progress in core subjects.</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8FFCF0" w14:textId="77777777" w:rsidR="00C80998" w:rsidRPr="00C80998" w:rsidRDefault="00C80998" w:rsidP="00C80998">
            <w:pPr>
              <w:pStyle w:val="TableHeader"/>
              <w:jc w:val="both"/>
              <w:rPr>
                <w:b w:val="0"/>
              </w:rPr>
            </w:pPr>
            <w:r w:rsidRPr="00C80998">
              <w:rPr>
                <w:b w:val="0"/>
              </w:rPr>
              <w:t>1, 2</w:t>
            </w:r>
          </w:p>
        </w:tc>
      </w:tr>
      <w:tr w:rsidR="00C80998" w:rsidRPr="00C80998" w14:paraId="0BB230B6" w14:textId="77777777" w:rsidTr="00C80998">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C82F16" w14:textId="77777777" w:rsidR="00C80998" w:rsidRPr="00C80998" w:rsidRDefault="00C80998" w:rsidP="00C80998">
            <w:pPr>
              <w:pStyle w:val="TableHeader"/>
              <w:jc w:val="both"/>
              <w:rPr>
                <w:b w:val="0"/>
              </w:rPr>
            </w:pPr>
            <w:proofErr w:type="spellStart"/>
            <w:r w:rsidRPr="00C80998">
              <w:rPr>
                <w:b w:val="0"/>
              </w:rPr>
              <w:t>Lexonik</w:t>
            </w:r>
            <w:proofErr w:type="spellEnd"/>
            <w:r w:rsidRPr="00C80998">
              <w:rPr>
                <w:b w:val="0"/>
              </w:rPr>
              <w:t xml:space="preserve"> Implementation</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0C346EA" w14:textId="77777777" w:rsidR="00C80998" w:rsidRPr="00C80998" w:rsidRDefault="00C80998" w:rsidP="00C80998">
            <w:pPr>
              <w:pStyle w:val="TableHeader"/>
              <w:jc w:val="both"/>
              <w:rPr>
                <w:b w:val="0"/>
              </w:rPr>
            </w:pPr>
            <w:proofErr w:type="spellStart"/>
            <w:r w:rsidRPr="00C80998">
              <w:rPr>
                <w:b w:val="0"/>
              </w:rPr>
              <w:t>Lexonik</w:t>
            </w:r>
            <w:proofErr w:type="spellEnd"/>
            <w:r w:rsidRPr="00C80998">
              <w:rPr>
                <w:b w:val="0"/>
              </w:rPr>
              <w:t xml:space="preserve"> has been shown to improve literacy skills through structured interventions targeting reading comprehension and vocabulary development, addressing literacy gaps effectively.</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E847CBE" w14:textId="77777777" w:rsidR="00C80998" w:rsidRPr="00C80998" w:rsidRDefault="00C80998" w:rsidP="00C80998">
            <w:pPr>
              <w:pStyle w:val="TableHeader"/>
              <w:jc w:val="both"/>
              <w:rPr>
                <w:b w:val="0"/>
              </w:rPr>
            </w:pPr>
            <w:r w:rsidRPr="00C80998">
              <w:rPr>
                <w:b w:val="0"/>
              </w:rPr>
              <w:t>2, 5</w:t>
            </w:r>
          </w:p>
        </w:tc>
      </w:tr>
      <w:tr w:rsidR="00C80998" w:rsidRPr="00C80998" w14:paraId="003870D4" w14:textId="77777777" w:rsidTr="00C80998">
        <w:tc>
          <w:tcPr>
            <w:tcW w:w="26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03659F" w14:textId="77777777" w:rsidR="00C80998" w:rsidRPr="00C80998" w:rsidRDefault="00C80998" w:rsidP="00C80998">
            <w:pPr>
              <w:pStyle w:val="TableHeader"/>
              <w:jc w:val="both"/>
              <w:rPr>
                <w:b w:val="0"/>
              </w:rPr>
            </w:pPr>
            <w:proofErr w:type="spellStart"/>
            <w:r w:rsidRPr="00C80998">
              <w:rPr>
                <w:b w:val="0"/>
              </w:rPr>
              <w:t>Sparx</w:t>
            </w:r>
            <w:proofErr w:type="spellEnd"/>
            <w:r w:rsidRPr="00C80998">
              <w:rPr>
                <w:b w:val="0"/>
              </w:rPr>
              <w:t xml:space="preserve"> Maths Implementation</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5E64BE" w14:textId="77777777" w:rsidR="00C80998" w:rsidRPr="00C80998" w:rsidRDefault="00C80998" w:rsidP="00C80998">
            <w:pPr>
              <w:pStyle w:val="TableHeader"/>
              <w:jc w:val="both"/>
              <w:rPr>
                <w:b w:val="0"/>
              </w:rPr>
            </w:pPr>
            <w:r w:rsidRPr="00C80998">
              <w:rPr>
                <w:b w:val="0"/>
              </w:rPr>
              <w:t xml:space="preserve">Research indicates that personalised learning platforms like </w:t>
            </w:r>
            <w:proofErr w:type="spellStart"/>
            <w:r w:rsidRPr="00C80998">
              <w:rPr>
                <w:b w:val="0"/>
              </w:rPr>
              <w:t>Sparx</w:t>
            </w:r>
            <w:proofErr w:type="spellEnd"/>
            <w:r w:rsidRPr="00C80998">
              <w:rPr>
                <w:b w:val="0"/>
              </w:rPr>
              <w:t xml:space="preserve"> Maths can enhance student engagement and progress through adaptive tasks that address individual learning gaps. This approach can be used during school hours, within registration time, or in afterschool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4BC104" w14:textId="77777777" w:rsidR="00C80998" w:rsidRPr="00C80998" w:rsidRDefault="00C80998" w:rsidP="00C80998">
            <w:pPr>
              <w:pStyle w:val="TableHeader"/>
              <w:jc w:val="both"/>
              <w:rPr>
                <w:b w:val="0"/>
              </w:rPr>
            </w:pPr>
          </w:p>
        </w:tc>
      </w:tr>
    </w:tbl>
    <w:p w14:paraId="4EA3AD3A" w14:textId="77777777" w:rsidR="00E66558" w:rsidRDefault="00E66558">
      <w:pPr>
        <w:spacing w:after="0"/>
        <w:rPr>
          <w:b/>
          <w:color w:val="104F75"/>
          <w:sz w:val="28"/>
          <w:szCs w:val="28"/>
        </w:rPr>
      </w:pPr>
    </w:p>
    <w:p w14:paraId="26CB330C" w14:textId="77777777" w:rsidR="00C80998" w:rsidRDefault="00C80998">
      <w:pPr>
        <w:rPr>
          <w:b/>
          <w:color w:val="104F75"/>
          <w:sz w:val="28"/>
          <w:szCs w:val="28"/>
        </w:rPr>
      </w:pPr>
    </w:p>
    <w:p w14:paraId="1DAB0F59" w14:textId="77777777" w:rsidR="00C80998" w:rsidRDefault="00C80998">
      <w:pPr>
        <w:rPr>
          <w:b/>
          <w:color w:val="104F75"/>
          <w:sz w:val="28"/>
          <w:szCs w:val="28"/>
        </w:rPr>
      </w:pPr>
    </w:p>
    <w:p w14:paraId="18E59107" w14:textId="77777777" w:rsidR="00C80998" w:rsidRDefault="00C80998">
      <w:pPr>
        <w:rPr>
          <w:b/>
          <w:color w:val="104F75"/>
          <w:sz w:val="28"/>
          <w:szCs w:val="28"/>
        </w:rPr>
      </w:pPr>
    </w:p>
    <w:p w14:paraId="31C99FA0" w14:textId="77777777" w:rsidR="00C80998" w:rsidRDefault="00C80998">
      <w:pPr>
        <w:rPr>
          <w:b/>
          <w:color w:val="104F75"/>
          <w:sz w:val="28"/>
          <w:szCs w:val="28"/>
        </w:rPr>
      </w:pPr>
    </w:p>
    <w:p w14:paraId="016195BC" w14:textId="77777777" w:rsidR="00C80998" w:rsidRDefault="00C80998">
      <w:pPr>
        <w:rPr>
          <w:b/>
          <w:color w:val="104F75"/>
          <w:sz w:val="28"/>
          <w:szCs w:val="28"/>
        </w:rPr>
      </w:pPr>
    </w:p>
    <w:p w14:paraId="78395BAA" w14:textId="1EFD959E" w:rsidR="00E66558" w:rsidRDefault="009D71E8">
      <w:pPr>
        <w:rPr>
          <w:b/>
          <w:color w:val="104F75"/>
          <w:sz w:val="28"/>
          <w:szCs w:val="28"/>
        </w:rPr>
      </w:pPr>
      <w:r>
        <w:rPr>
          <w:b/>
          <w:color w:val="104F75"/>
          <w:sz w:val="28"/>
          <w:szCs w:val="28"/>
        </w:rPr>
        <w:t>Wider strategies (for example, related to attendance, behaviour, wellbeing)</w:t>
      </w:r>
    </w:p>
    <w:p w14:paraId="4B7E818B" w14:textId="104A152F" w:rsidR="00E66558" w:rsidRDefault="009D71E8">
      <w:pPr>
        <w:spacing w:before="240" w:after="120"/>
      </w:pPr>
      <w:r w:rsidRPr="00C80998">
        <w:rPr>
          <w:highlight w:val="green"/>
        </w:rPr>
        <w:t>Budgeted cost: £</w:t>
      </w:r>
      <w:r w:rsidR="00C80998" w:rsidRPr="00C80998">
        <w:rPr>
          <w:highlight w:val="green"/>
        </w:rPr>
        <w:t>28,751.73</w:t>
      </w:r>
    </w:p>
    <w:tbl>
      <w:tblPr>
        <w:tblStyle w:val="TableGrid"/>
        <w:tblW w:w="10632" w:type="dxa"/>
        <w:tblInd w:w="-714" w:type="dxa"/>
        <w:tblLook w:val="04A0" w:firstRow="1" w:lastRow="0" w:firstColumn="1" w:lastColumn="0" w:noHBand="0" w:noVBand="1"/>
      </w:tblPr>
      <w:tblGrid>
        <w:gridCol w:w="2794"/>
        <w:gridCol w:w="5685"/>
        <w:gridCol w:w="2153"/>
      </w:tblGrid>
      <w:tr w:rsidR="00AF7A16" w:rsidRPr="00AF7A16" w14:paraId="6B1B9FC6" w14:textId="77777777" w:rsidTr="00AF7A16">
        <w:tc>
          <w:tcPr>
            <w:tcW w:w="2794" w:type="dxa"/>
            <w:shd w:val="clear" w:color="auto" w:fill="C6D9F1" w:themeFill="text2" w:themeFillTint="33"/>
            <w:hideMark/>
          </w:tcPr>
          <w:p w14:paraId="69856E83" w14:textId="77777777" w:rsidR="00AF7A16" w:rsidRPr="00AF7A16" w:rsidRDefault="00AF7A16" w:rsidP="00AF7A16">
            <w:pPr>
              <w:suppressAutoHyphens w:val="0"/>
              <w:autoSpaceDN/>
              <w:spacing w:after="0" w:line="240" w:lineRule="auto"/>
              <w:jc w:val="center"/>
              <w:rPr>
                <w:rFonts w:cs="Arial"/>
                <w:b/>
                <w:bCs/>
                <w:color w:val="auto"/>
              </w:rPr>
            </w:pPr>
            <w:r w:rsidRPr="00AF7A16">
              <w:rPr>
                <w:rFonts w:cs="Arial"/>
                <w:b/>
                <w:bCs/>
                <w:color w:val="auto"/>
              </w:rPr>
              <w:t>Activity</w:t>
            </w:r>
          </w:p>
        </w:tc>
        <w:tc>
          <w:tcPr>
            <w:tcW w:w="0" w:type="auto"/>
            <w:shd w:val="clear" w:color="auto" w:fill="C6D9F1" w:themeFill="text2" w:themeFillTint="33"/>
            <w:hideMark/>
          </w:tcPr>
          <w:p w14:paraId="3EED8852" w14:textId="77777777" w:rsidR="00AF7A16" w:rsidRPr="00AF7A16" w:rsidRDefault="00AF7A16" w:rsidP="00AF7A16">
            <w:pPr>
              <w:suppressAutoHyphens w:val="0"/>
              <w:autoSpaceDN/>
              <w:spacing w:after="0" w:line="240" w:lineRule="auto"/>
              <w:jc w:val="center"/>
              <w:rPr>
                <w:rFonts w:cs="Arial"/>
                <w:b/>
                <w:bCs/>
                <w:color w:val="auto"/>
              </w:rPr>
            </w:pPr>
            <w:r w:rsidRPr="00AF7A16">
              <w:rPr>
                <w:rFonts w:cs="Arial"/>
                <w:b/>
                <w:bCs/>
                <w:color w:val="auto"/>
              </w:rPr>
              <w:t>Evidence that supports this approach</w:t>
            </w:r>
          </w:p>
        </w:tc>
        <w:tc>
          <w:tcPr>
            <w:tcW w:w="2153" w:type="dxa"/>
            <w:shd w:val="clear" w:color="auto" w:fill="C6D9F1" w:themeFill="text2" w:themeFillTint="33"/>
            <w:hideMark/>
          </w:tcPr>
          <w:p w14:paraId="39938329" w14:textId="77777777" w:rsidR="00AF7A16" w:rsidRPr="00AF7A16" w:rsidRDefault="00AF7A16" w:rsidP="00AF7A16">
            <w:pPr>
              <w:suppressAutoHyphens w:val="0"/>
              <w:autoSpaceDN/>
              <w:spacing w:after="0" w:line="240" w:lineRule="auto"/>
              <w:jc w:val="center"/>
              <w:rPr>
                <w:rFonts w:cs="Arial"/>
                <w:b/>
                <w:bCs/>
                <w:color w:val="auto"/>
              </w:rPr>
            </w:pPr>
            <w:r w:rsidRPr="00AF7A16">
              <w:rPr>
                <w:rFonts w:cs="Arial"/>
                <w:b/>
                <w:bCs/>
                <w:color w:val="auto"/>
              </w:rPr>
              <w:t>Challenge number(s) addressed</w:t>
            </w:r>
          </w:p>
        </w:tc>
      </w:tr>
      <w:tr w:rsidR="00AF7A16" w:rsidRPr="00AF7A16" w14:paraId="58C8ECA0" w14:textId="77777777" w:rsidTr="00AF7A16">
        <w:tc>
          <w:tcPr>
            <w:tcW w:w="2794" w:type="dxa"/>
            <w:hideMark/>
          </w:tcPr>
          <w:p w14:paraId="1DCD4DA4"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Pupil Premium Categorisation of Risk</w:t>
            </w:r>
          </w:p>
        </w:tc>
        <w:tc>
          <w:tcPr>
            <w:tcW w:w="0" w:type="auto"/>
            <w:hideMark/>
          </w:tcPr>
          <w:p w14:paraId="682856D4"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Categorising students based on ACEs ensures targeted support, allowing high-risk students to receive intensive help while supporting all disadvantaged learners.</w:t>
            </w:r>
          </w:p>
        </w:tc>
        <w:tc>
          <w:tcPr>
            <w:tcW w:w="2153" w:type="dxa"/>
            <w:hideMark/>
          </w:tcPr>
          <w:p w14:paraId="6E980371"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1, 2, 5</w:t>
            </w:r>
          </w:p>
        </w:tc>
      </w:tr>
      <w:tr w:rsidR="00AF7A16" w:rsidRPr="00AF7A16" w14:paraId="270328C6" w14:textId="77777777" w:rsidTr="00AF7A16">
        <w:tc>
          <w:tcPr>
            <w:tcW w:w="2794" w:type="dxa"/>
            <w:hideMark/>
          </w:tcPr>
          <w:p w14:paraId="2F2AA997"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Attendance Monitoring and Support</w:t>
            </w:r>
          </w:p>
        </w:tc>
        <w:tc>
          <w:tcPr>
            <w:tcW w:w="0" w:type="auto"/>
            <w:hideMark/>
          </w:tcPr>
          <w:p w14:paraId="12B8DC2D"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EEF evidence suggests that close monitoring and family outreach improve attendance rates. Providing transport for persistently absent students removes logistical barriers.</w:t>
            </w:r>
          </w:p>
        </w:tc>
        <w:tc>
          <w:tcPr>
            <w:tcW w:w="2153" w:type="dxa"/>
            <w:hideMark/>
          </w:tcPr>
          <w:p w14:paraId="58E3676A"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3</w:t>
            </w:r>
          </w:p>
        </w:tc>
      </w:tr>
      <w:tr w:rsidR="00AF7A16" w:rsidRPr="00AF7A16" w14:paraId="2C4C395F" w14:textId="77777777" w:rsidTr="00AF7A16">
        <w:tc>
          <w:tcPr>
            <w:tcW w:w="2794" w:type="dxa"/>
            <w:hideMark/>
          </w:tcPr>
          <w:p w14:paraId="3F3FF08C"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Social, Emotional, and Behavioural Support</w:t>
            </w:r>
          </w:p>
        </w:tc>
        <w:tc>
          <w:tcPr>
            <w:tcW w:w="0" w:type="auto"/>
            <w:hideMark/>
          </w:tcPr>
          <w:p w14:paraId="12FC02AE"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Multi-agency collaboration is supported by research showing that pastoral care and mentoring improve emotional well-being and behaviour.</w:t>
            </w:r>
          </w:p>
        </w:tc>
        <w:tc>
          <w:tcPr>
            <w:tcW w:w="2153" w:type="dxa"/>
            <w:hideMark/>
          </w:tcPr>
          <w:p w14:paraId="68FF7C30"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1, 5</w:t>
            </w:r>
          </w:p>
        </w:tc>
      </w:tr>
      <w:tr w:rsidR="00AF7A16" w:rsidRPr="00AF7A16" w14:paraId="640FC08C" w14:textId="77777777" w:rsidTr="00AF7A16">
        <w:tc>
          <w:tcPr>
            <w:tcW w:w="2794" w:type="dxa"/>
            <w:hideMark/>
          </w:tcPr>
          <w:p w14:paraId="0341B5A0"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Extra-Curricular Opportunities</w:t>
            </w:r>
          </w:p>
        </w:tc>
        <w:tc>
          <w:tcPr>
            <w:tcW w:w="0" w:type="auto"/>
            <w:hideMark/>
          </w:tcPr>
          <w:p w14:paraId="0AE172E0"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Participation in extra-curricular activities fosters social development and engagement, promoting better academic outcomes.</w:t>
            </w:r>
          </w:p>
        </w:tc>
        <w:tc>
          <w:tcPr>
            <w:tcW w:w="2153" w:type="dxa"/>
            <w:hideMark/>
          </w:tcPr>
          <w:p w14:paraId="0600B440"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4, 5</w:t>
            </w:r>
          </w:p>
        </w:tc>
      </w:tr>
      <w:tr w:rsidR="00AF7A16" w:rsidRPr="00AF7A16" w14:paraId="1B2BB6C3" w14:textId="77777777" w:rsidTr="00AF7A16">
        <w:tc>
          <w:tcPr>
            <w:tcW w:w="2794" w:type="dxa"/>
            <w:hideMark/>
          </w:tcPr>
          <w:p w14:paraId="4B5AAC7A"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Enrichment Targets with Rewards</w:t>
            </w:r>
          </w:p>
        </w:tc>
        <w:tc>
          <w:tcPr>
            <w:tcW w:w="0" w:type="auto"/>
            <w:hideMark/>
          </w:tcPr>
          <w:p w14:paraId="7097B3A9"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Setting specific targets and offering rewards motivates students, encouraging active participation in school life.</w:t>
            </w:r>
          </w:p>
        </w:tc>
        <w:tc>
          <w:tcPr>
            <w:tcW w:w="2153" w:type="dxa"/>
            <w:hideMark/>
          </w:tcPr>
          <w:p w14:paraId="06D45774"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2, 4</w:t>
            </w:r>
          </w:p>
        </w:tc>
      </w:tr>
      <w:tr w:rsidR="00AF7A16" w:rsidRPr="00AF7A16" w14:paraId="3556EDD2" w14:textId="77777777" w:rsidTr="00AF7A16">
        <w:tc>
          <w:tcPr>
            <w:tcW w:w="2794" w:type="dxa"/>
            <w:hideMark/>
          </w:tcPr>
          <w:p w14:paraId="770F2476"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Early Careers Support for Disadvantaged Students</w:t>
            </w:r>
          </w:p>
        </w:tc>
        <w:tc>
          <w:tcPr>
            <w:tcW w:w="0" w:type="auto"/>
            <w:hideMark/>
          </w:tcPr>
          <w:p w14:paraId="1AF6C9F7"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Early careers guidance equips students with essential skills, improving future education and employment prospects.</w:t>
            </w:r>
          </w:p>
        </w:tc>
        <w:tc>
          <w:tcPr>
            <w:tcW w:w="2153" w:type="dxa"/>
            <w:hideMark/>
          </w:tcPr>
          <w:p w14:paraId="08AECF64"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2, 5</w:t>
            </w:r>
          </w:p>
        </w:tc>
      </w:tr>
      <w:tr w:rsidR="00AF7A16" w:rsidRPr="00AF7A16" w14:paraId="00A00633" w14:textId="77777777" w:rsidTr="00AF7A16">
        <w:tc>
          <w:tcPr>
            <w:tcW w:w="2794" w:type="dxa"/>
            <w:hideMark/>
          </w:tcPr>
          <w:p w14:paraId="62EE577F"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Parental Engagement</w:t>
            </w:r>
          </w:p>
        </w:tc>
        <w:tc>
          <w:tcPr>
            <w:tcW w:w="0" w:type="auto"/>
            <w:hideMark/>
          </w:tcPr>
          <w:p w14:paraId="6C9F848B"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Parental involvement correlates with better academic performance and student well-being. Workshops and communication tools help maintain family-school partnerships.</w:t>
            </w:r>
          </w:p>
        </w:tc>
        <w:tc>
          <w:tcPr>
            <w:tcW w:w="2153" w:type="dxa"/>
            <w:hideMark/>
          </w:tcPr>
          <w:p w14:paraId="3EACA76E" w14:textId="77777777" w:rsidR="00AF7A16" w:rsidRPr="00AF7A16" w:rsidRDefault="00AF7A16" w:rsidP="00AF7A16">
            <w:pPr>
              <w:suppressAutoHyphens w:val="0"/>
              <w:autoSpaceDN/>
              <w:spacing w:after="0" w:line="240" w:lineRule="auto"/>
              <w:rPr>
                <w:rFonts w:cs="Arial"/>
                <w:color w:val="auto"/>
              </w:rPr>
            </w:pPr>
            <w:r w:rsidRPr="00AF7A16">
              <w:rPr>
                <w:rFonts w:cs="Arial"/>
                <w:color w:val="auto"/>
              </w:rPr>
              <w:t>1</w:t>
            </w:r>
          </w:p>
        </w:tc>
      </w:tr>
    </w:tbl>
    <w:p w14:paraId="348D6E08" w14:textId="77777777" w:rsidR="00E66558" w:rsidRDefault="00E66558">
      <w:pPr>
        <w:spacing w:before="240" w:after="0"/>
        <w:rPr>
          <w:b/>
          <w:bCs/>
          <w:color w:val="104F75"/>
          <w:sz w:val="28"/>
          <w:szCs w:val="28"/>
        </w:rPr>
      </w:pPr>
    </w:p>
    <w:p w14:paraId="30C2EA18" w14:textId="1A1B1F9E" w:rsidR="00E66558" w:rsidRDefault="009D71E8" w:rsidP="00120AB1">
      <w:r>
        <w:rPr>
          <w:b/>
          <w:bCs/>
          <w:color w:val="104F75"/>
          <w:sz w:val="28"/>
          <w:szCs w:val="28"/>
        </w:rPr>
        <w:t xml:space="preserve">Total budgeted </w:t>
      </w:r>
      <w:r w:rsidRPr="001E20C8">
        <w:rPr>
          <w:b/>
          <w:bCs/>
          <w:color w:val="104F75"/>
          <w:sz w:val="28"/>
          <w:szCs w:val="28"/>
        </w:rPr>
        <w:t>cost: £</w:t>
      </w:r>
      <w:r w:rsidR="00AF7A16">
        <w:rPr>
          <w:i/>
          <w:iCs/>
          <w:color w:val="104F75"/>
          <w:sz w:val="28"/>
          <w:szCs w:val="28"/>
        </w:rPr>
        <w:t>73,000</w:t>
      </w:r>
    </w:p>
    <w:p w14:paraId="409B759B" w14:textId="77777777" w:rsidR="00E66558" w:rsidRDefault="009D71E8">
      <w:pPr>
        <w:pStyle w:val="Heading1"/>
      </w:pPr>
      <w:r>
        <w:t>Part B: Review of outcomes in the previous academic year</w:t>
      </w:r>
    </w:p>
    <w:p w14:paraId="26FBA1D0" w14:textId="77777777" w:rsidR="00E66558" w:rsidRDefault="009D71E8">
      <w:pPr>
        <w:pStyle w:val="Heading2"/>
      </w:pPr>
      <w:r>
        <w:t>Pupil premium strategy outcomes</w:t>
      </w:r>
    </w:p>
    <w:p w14:paraId="1E7B6E9F" w14:textId="606A03D6" w:rsidR="00E66558" w:rsidRDefault="009D71E8">
      <w:r>
        <w:t xml:space="preserve">This details the impact that our pupil premium activity had on pupils in the </w:t>
      </w:r>
      <w:r w:rsidR="00F82A84">
        <w:t>202</w:t>
      </w:r>
      <w:r w:rsidR="00E27B35">
        <w:t>3</w:t>
      </w:r>
      <w:r w:rsidR="00F82A84">
        <w:t>-202</w:t>
      </w:r>
      <w:r w:rsidR="00E27B35">
        <w:t>4</w:t>
      </w:r>
      <w:bookmarkStart w:id="17" w:name="_GoBack"/>
      <w:bookmarkEnd w:id="17"/>
      <w:r>
        <w:t xml:space="preserve"> academic year. </w:t>
      </w:r>
    </w:p>
    <w:tbl>
      <w:tblPr>
        <w:tblStyle w:val="TableGrid"/>
        <w:tblW w:w="9493" w:type="dxa"/>
        <w:tblLook w:val="04A0" w:firstRow="1" w:lastRow="0" w:firstColumn="1" w:lastColumn="0" w:noHBand="0" w:noVBand="1"/>
      </w:tblPr>
      <w:tblGrid>
        <w:gridCol w:w="9493"/>
      </w:tblGrid>
      <w:tr w:rsidR="00C44C0A" w14:paraId="2554624C" w14:textId="77777777" w:rsidTr="46DC5BB1">
        <w:trPr>
          <w:trHeight w:val="983"/>
        </w:trPr>
        <w:tc>
          <w:tcPr>
            <w:tcW w:w="9493" w:type="dxa"/>
          </w:tcPr>
          <w:p w14:paraId="1DB1A575" w14:textId="77777777" w:rsidR="003274E5" w:rsidRPr="003274E5" w:rsidRDefault="003274E5" w:rsidP="003274E5">
            <w:pPr>
              <w:suppressAutoHyphens w:val="0"/>
              <w:autoSpaceDN/>
              <w:spacing w:before="100" w:beforeAutospacing="1" w:after="100" w:afterAutospacing="1" w:line="240" w:lineRule="auto"/>
              <w:jc w:val="both"/>
              <w:rPr>
                <w:rFonts w:cs="Arial"/>
                <w:color w:val="auto"/>
              </w:rPr>
            </w:pPr>
            <w:r w:rsidRPr="003274E5">
              <w:rPr>
                <w:rFonts w:cs="Arial"/>
                <w:color w:val="auto"/>
              </w:rPr>
              <w:t>In 2024, disadvantaged students at Tenbury showed some improvements in academic performance compared to the previous year. While the overall progress measures indicated positive changes, there remains a significant gap between the attainment of disadvantaged students and their peers. Although grades improved across key subjects, such as English and Maths, the increases highlight the extent of the challenge rather than the complete resolution of it.</w:t>
            </w:r>
          </w:p>
          <w:p w14:paraId="43253958" w14:textId="77777777" w:rsidR="003274E5" w:rsidRPr="003274E5" w:rsidRDefault="003274E5" w:rsidP="003274E5">
            <w:pPr>
              <w:suppressAutoHyphens w:val="0"/>
              <w:autoSpaceDN/>
              <w:spacing w:before="100" w:beforeAutospacing="1" w:after="100" w:afterAutospacing="1" w:line="240" w:lineRule="auto"/>
              <w:jc w:val="both"/>
              <w:rPr>
                <w:rFonts w:cs="Arial"/>
                <w:color w:val="auto"/>
              </w:rPr>
            </w:pPr>
            <w:r w:rsidRPr="003274E5">
              <w:rPr>
                <w:rFonts w:cs="Arial"/>
                <w:color w:val="auto"/>
              </w:rPr>
              <w:t>The proportion of disadvantaged students meeting key benchmarks, such as Basics 9-5 and 9-4, rose notably year-on-year. However, these figures underline that a majority of Pupil Premium students are still falling short of these standards. This suggests that while interventions and strategies are beginning to show impact, more focused and sustained efforts are required to ensure consistent and meaningful progress across the cohort.</w:t>
            </w:r>
          </w:p>
          <w:p w14:paraId="0615B585" w14:textId="77777777" w:rsidR="003274E5" w:rsidRPr="003274E5" w:rsidRDefault="003274E5" w:rsidP="003274E5">
            <w:pPr>
              <w:suppressAutoHyphens w:val="0"/>
              <w:autoSpaceDN/>
              <w:spacing w:before="100" w:beforeAutospacing="1" w:after="100" w:afterAutospacing="1" w:line="240" w:lineRule="auto"/>
              <w:jc w:val="both"/>
              <w:rPr>
                <w:rFonts w:cs="Arial"/>
                <w:color w:val="auto"/>
              </w:rPr>
            </w:pPr>
            <w:r w:rsidRPr="003274E5">
              <w:rPr>
                <w:rFonts w:cs="Arial"/>
                <w:color w:val="auto"/>
              </w:rPr>
              <w:t>The data indicates that disadvantaged students are benefiting from some of the measures in place, but the scale of the progress suggests the need for a more comprehensive approach. Factors such as the quality of teaching, targeted support, and addressing barriers to learning remain critical to further improving outcomes. This is a clear area of priority for the school moving forward, with a focus on ensuring that the progress observed is not only maintained but accelerated in future years.</w:t>
            </w:r>
          </w:p>
          <w:p w14:paraId="411D8A6E" w14:textId="38C94D92" w:rsidR="00C44C0A" w:rsidRPr="00904D45" w:rsidRDefault="00C44C0A" w:rsidP="00B70DB8">
            <w:pPr>
              <w:spacing w:before="120"/>
              <w:rPr>
                <w:lang w:eastAsia="en-US"/>
              </w:rPr>
            </w:pPr>
          </w:p>
        </w:tc>
      </w:tr>
    </w:tbl>
    <w:p w14:paraId="314BCA43" w14:textId="77777777" w:rsidR="00E66558" w:rsidRDefault="009D71E8">
      <w:pPr>
        <w:pStyle w:val="Heading2"/>
        <w:spacing w:before="600"/>
      </w:pPr>
      <w:r>
        <w:t>Externally provided programmes</w:t>
      </w:r>
    </w:p>
    <w:p w14:paraId="439B3F36" w14:textId="77777777"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443A67A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5D4D069"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4C2529" w14:textId="77777777" w:rsidR="00E66558" w:rsidRDefault="009D71E8">
            <w:pPr>
              <w:pStyle w:val="TableHeader"/>
              <w:jc w:val="left"/>
            </w:pPr>
            <w:r>
              <w:t>Provider</w:t>
            </w:r>
          </w:p>
        </w:tc>
      </w:tr>
      <w:tr w:rsidR="00E66558" w14:paraId="565E745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6DEF0" w14:textId="77777777" w:rsidR="00E66558" w:rsidRDefault="00755DCF">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674B" w14:textId="77777777" w:rsidR="00E66558" w:rsidRDefault="00E66558">
            <w:pPr>
              <w:pStyle w:val="TableRowCentered"/>
              <w:jc w:val="left"/>
            </w:pPr>
          </w:p>
        </w:tc>
      </w:tr>
      <w:tr w:rsidR="00E66558" w14:paraId="403BA0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4F56"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3C29" w14:textId="77777777" w:rsidR="00E66558" w:rsidRDefault="00E66558">
            <w:pPr>
              <w:pStyle w:val="TableRowCentered"/>
              <w:jc w:val="left"/>
            </w:pPr>
          </w:p>
        </w:tc>
      </w:tr>
    </w:tbl>
    <w:p w14:paraId="4A9973A2" w14:textId="77777777" w:rsidR="00E66558" w:rsidRDefault="001E20C8">
      <w:pPr>
        <w:pStyle w:val="Heading1"/>
      </w:pPr>
      <w:r>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768FA87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F39A" w14:textId="77777777" w:rsidR="00E66558" w:rsidRPr="00F553F2" w:rsidRDefault="00F553F2">
            <w:pPr>
              <w:spacing w:before="120" w:after="120"/>
              <w:rPr>
                <w:rFonts w:cs="Arial"/>
                <w:iCs/>
              </w:rPr>
            </w:pPr>
            <w:r w:rsidRPr="00F553F2">
              <w:rPr>
                <w:rFonts w:cs="Arial"/>
                <w:iCs/>
              </w:rPr>
              <w:t>O</w:t>
            </w:r>
            <w:r w:rsidR="009D71E8" w:rsidRPr="00F553F2">
              <w:rPr>
                <w:rFonts w:cs="Arial"/>
                <w:iCs/>
              </w:rPr>
              <w:t>ther activit</w:t>
            </w:r>
            <w:r w:rsidRPr="00F553F2">
              <w:rPr>
                <w:rFonts w:cs="Arial"/>
                <w:iCs/>
              </w:rPr>
              <w:t xml:space="preserve">ies we </w:t>
            </w:r>
            <w:r w:rsidR="009D71E8" w:rsidRPr="00F553F2">
              <w:rPr>
                <w:rFonts w:cs="Arial"/>
                <w:iCs/>
              </w:rPr>
              <w:t>are implementing to support disadvantaged pupils, that is not dependent on pupil premium or recovery premium funding</w:t>
            </w:r>
            <w:r w:rsidRPr="00F553F2">
              <w:rPr>
                <w:rFonts w:cs="Arial"/>
                <w:iCs/>
              </w:rPr>
              <w:t>:</w:t>
            </w:r>
          </w:p>
          <w:p w14:paraId="258F4E69" w14:textId="77777777" w:rsidR="00F553F2" w:rsidRPr="00F553F2" w:rsidRDefault="00F553F2">
            <w:pPr>
              <w:spacing w:before="120" w:after="120"/>
              <w:rPr>
                <w:rFonts w:cs="Arial"/>
                <w:iCs/>
              </w:rPr>
            </w:pPr>
            <w:r w:rsidRPr="00F553F2">
              <w:rPr>
                <w:rFonts w:cs="Arial"/>
                <w:iCs/>
              </w:rPr>
              <w:t>Pupil buddies in lessons</w:t>
            </w:r>
          </w:p>
          <w:p w14:paraId="05BFE88A" w14:textId="77777777" w:rsidR="00F553F2" w:rsidRPr="00F553F2" w:rsidRDefault="00F553F2">
            <w:pPr>
              <w:spacing w:before="120" w:after="120"/>
              <w:rPr>
                <w:rFonts w:cs="Arial"/>
                <w:iCs/>
              </w:rPr>
            </w:pPr>
            <w:r w:rsidRPr="00F553F2">
              <w:rPr>
                <w:rFonts w:cs="Arial"/>
                <w:iCs/>
              </w:rPr>
              <w:t>Disadvantaged learners to be on the school council</w:t>
            </w:r>
          </w:p>
          <w:p w14:paraId="2E48BA2B" w14:textId="77777777" w:rsidR="00F553F2" w:rsidRPr="00F553F2" w:rsidRDefault="00F553F2">
            <w:pPr>
              <w:spacing w:before="120" w:after="120"/>
              <w:rPr>
                <w:rFonts w:cs="Arial"/>
                <w:iCs/>
              </w:rPr>
            </w:pPr>
            <w:r w:rsidRPr="00F553F2">
              <w:rPr>
                <w:rFonts w:cs="Arial"/>
                <w:iCs/>
              </w:rPr>
              <w:t>Pupil progress meetings which scrutinise data and plan interventions</w:t>
            </w:r>
          </w:p>
          <w:p w14:paraId="371ADAC3" w14:textId="77777777" w:rsidR="00F553F2" w:rsidRPr="00F553F2" w:rsidRDefault="00F553F2">
            <w:pPr>
              <w:spacing w:before="120" w:after="120"/>
              <w:rPr>
                <w:rFonts w:cs="Arial"/>
                <w:iCs/>
              </w:rPr>
            </w:pPr>
            <w:r w:rsidRPr="00F553F2">
              <w:rPr>
                <w:rFonts w:cs="Arial"/>
                <w:iCs/>
              </w:rPr>
              <w:t>Marking disadvantaged pupils’ work first</w:t>
            </w:r>
          </w:p>
          <w:p w14:paraId="1C474E32" w14:textId="77777777" w:rsidR="00E66558" w:rsidRPr="00F553F2" w:rsidRDefault="00F553F2">
            <w:pPr>
              <w:spacing w:before="120" w:after="120"/>
              <w:rPr>
                <w:rFonts w:cs="Arial"/>
                <w:i/>
                <w:iCs/>
              </w:rPr>
            </w:pPr>
            <w:r w:rsidRPr="00F553F2">
              <w:rPr>
                <w:rFonts w:cs="Arial"/>
                <w:iCs/>
              </w:rPr>
              <w:t>Identifying and knowing disadvantaged learners e.g. via seating plans</w:t>
            </w:r>
          </w:p>
        </w:tc>
      </w:tr>
      <w:bookmarkEnd w:id="14"/>
      <w:bookmarkEnd w:id="15"/>
      <w:bookmarkEnd w:id="16"/>
    </w:tbl>
    <w:p w14:paraId="003E779C"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9E76E" w14:textId="77777777" w:rsidR="00010ACE" w:rsidRDefault="00010ACE">
      <w:pPr>
        <w:spacing w:after="0" w:line="240" w:lineRule="auto"/>
      </w:pPr>
      <w:r>
        <w:separator/>
      </w:r>
    </w:p>
  </w:endnote>
  <w:endnote w:type="continuationSeparator" w:id="0">
    <w:p w14:paraId="5B8D29C2" w14:textId="77777777" w:rsidR="00010ACE" w:rsidRDefault="0001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E6F8"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937D" w14:textId="77777777" w:rsidR="00010ACE" w:rsidRDefault="00010ACE">
      <w:pPr>
        <w:spacing w:after="0" w:line="240" w:lineRule="auto"/>
      </w:pPr>
      <w:r>
        <w:separator/>
      </w:r>
    </w:p>
  </w:footnote>
  <w:footnote w:type="continuationSeparator" w:id="0">
    <w:p w14:paraId="6E4E374E" w14:textId="77777777" w:rsidR="00010ACE" w:rsidRDefault="0001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AC41" w14:textId="77777777" w:rsidR="005E28A4" w:rsidRDefault="0001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DDC"/>
    <w:multiLevelType w:val="hybridMultilevel"/>
    <w:tmpl w:val="A6D6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7950C4"/>
    <w:multiLevelType w:val="multilevel"/>
    <w:tmpl w:val="45C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7"/>
  </w:num>
  <w:num w:numId="5">
    <w:abstractNumId w:val="1"/>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9"/>
  </w:num>
  <w:num w:numId="14">
    <w:abstractNumId w:val="16"/>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ACE"/>
    <w:rsid w:val="000574D0"/>
    <w:rsid w:val="00066B73"/>
    <w:rsid w:val="000C72CA"/>
    <w:rsid w:val="00120AB1"/>
    <w:rsid w:val="00120BBE"/>
    <w:rsid w:val="0017722F"/>
    <w:rsid w:val="001E20C8"/>
    <w:rsid w:val="001E3E5C"/>
    <w:rsid w:val="002546E1"/>
    <w:rsid w:val="003012D8"/>
    <w:rsid w:val="00304EE6"/>
    <w:rsid w:val="00310637"/>
    <w:rsid w:val="003125F7"/>
    <w:rsid w:val="003274E5"/>
    <w:rsid w:val="003E17FA"/>
    <w:rsid w:val="004044AA"/>
    <w:rsid w:val="00427AB9"/>
    <w:rsid w:val="004342D0"/>
    <w:rsid w:val="004A47B6"/>
    <w:rsid w:val="004B0BC5"/>
    <w:rsid w:val="004B0FBF"/>
    <w:rsid w:val="0053105A"/>
    <w:rsid w:val="005539C2"/>
    <w:rsid w:val="005B5247"/>
    <w:rsid w:val="00614447"/>
    <w:rsid w:val="006E7FB1"/>
    <w:rsid w:val="006F2F9B"/>
    <w:rsid w:val="00741B9E"/>
    <w:rsid w:val="00755DCF"/>
    <w:rsid w:val="007923BC"/>
    <w:rsid w:val="00796FFA"/>
    <w:rsid w:val="007A0C39"/>
    <w:rsid w:val="007C2F04"/>
    <w:rsid w:val="007D142E"/>
    <w:rsid w:val="008F4D3E"/>
    <w:rsid w:val="00904D45"/>
    <w:rsid w:val="00926BE3"/>
    <w:rsid w:val="009368FA"/>
    <w:rsid w:val="00966A64"/>
    <w:rsid w:val="009A153F"/>
    <w:rsid w:val="009A3FCC"/>
    <w:rsid w:val="009D71E8"/>
    <w:rsid w:val="00A07621"/>
    <w:rsid w:val="00A929EC"/>
    <w:rsid w:val="00AE7835"/>
    <w:rsid w:val="00AF22A9"/>
    <w:rsid w:val="00AF4FCF"/>
    <w:rsid w:val="00AF7A16"/>
    <w:rsid w:val="00B00F75"/>
    <w:rsid w:val="00B20166"/>
    <w:rsid w:val="00B546B5"/>
    <w:rsid w:val="00B633A7"/>
    <w:rsid w:val="00B70DB8"/>
    <w:rsid w:val="00C152E5"/>
    <w:rsid w:val="00C3716D"/>
    <w:rsid w:val="00C44C0A"/>
    <w:rsid w:val="00C52EA4"/>
    <w:rsid w:val="00C632C7"/>
    <w:rsid w:val="00C80998"/>
    <w:rsid w:val="00D33FE5"/>
    <w:rsid w:val="00DA7FF9"/>
    <w:rsid w:val="00E27B35"/>
    <w:rsid w:val="00E40B14"/>
    <w:rsid w:val="00E66558"/>
    <w:rsid w:val="00E75A60"/>
    <w:rsid w:val="00EA726E"/>
    <w:rsid w:val="00EF6124"/>
    <w:rsid w:val="00F0041D"/>
    <w:rsid w:val="00F30FE8"/>
    <w:rsid w:val="00F553F2"/>
    <w:rsid w:val="00F82A84"/>
    <w:rsid w:val="00F90425"/>
    <w:rsid w:val="46DC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963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614447"/>
    <w:pPr>
      <w:suppressAutoHyphens w:val="0"/>
      <w:autoSpaceDN/>
      <w:spacing w:before="100" w:beforeAutospacing="1" w:after="100" w:afterAutospacing="1" w:line="240" w:lineRule="auto"/>
    </w:pPr>
    <w:rPr>
      <w:rFonts w:ascii="Times New Roman" w:hAnsi="Times New Roman"/>
      <w:color w:val="auto"/>
    </w:rPr>
  </w:style>
  <w:style w:type="character" w:styleId="PlaceholderText">
    <w:name w:val="Placeholder Text"/>
    <w:basedOn w:val="DefaultParagraphFont"/>
    <w:rsid w:val="000574D0"/>
    <w:rPr>
      <w:color w:val="808080"/>
    </w:rPr>
  </w:style>
  <w:style w:type="character" w:styleId="Strong">
    <w:name w:val="Strong"/>
    <w:basedOn w:val="DefaultParagraphFont"/>
    <w:uiPriority w:val="22"/>
    <w:qFormat/>
    <w:rsid w:val="00E75A60"/>
    <w:rPr>
      <w:b/>
      <w:bCs/>
    </w:rPr>
  </w:style>
  <w:style w:type="table" w:styleId="TableGrid">
    <w:name w:val="Table Grid"/>
    <w:basedOn w:val="TableNormal"/>
    <w:uiPriority w:val="39"/>
    <w:rsid w:val="00C4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51746">
      <w:bodyDiv w:val="1"/>
      <w:marLeft w:val="0"/>
      <w:marRight w:val="0"/>
      <w:marTop w:val="0"/>
      <w:marBottom w:val="0"/>
      <w:divBdr>
        <w:top w:val="none" w:sz="0" w:space="0" w:color="auto"/>
        <w:left w:val="none" w:sz="0" w:space="0" w:color="auto"/>
        <w:bottom w:val="none" w:sz="0" w:space="0" w:color="auto"/>
        <w:right w:val="none" w:sz="0" w:space="0" w:color="auto"/>
      </w:divBdr>
    </w:div>
    <w:div w:id="1149637037">
      <w:bodyDiv w:val="1"/>
      <w:marLeft w:val="0"/>
      <w:marRight w:val="0"/>
      <w:marTop w:val="0"/>
      <w:marBottom w:val="0"/>
      <w:divBdr>
        <w:top w:val="none" w:sz="0" w:space="0" w:color="auto"/>
        <w:left w:val="none" w:sz="0" w:space="0" w:color="auto"/>
        <w:bottom w:val="none" w:sz="0" w:space="0" w:color="auto"/>
        <w:right w:val="none" w:sz="0" w:space="0" w:color="auto"/>
      </w:divBdr>
    </w:div>
    <w:div w:id="1803423479">
      <w:bodyDiv w:val="1"/>
      <w:marLeft w:val="0"/>
      <w:marRight w:val="0"/>
      <w:marTop w:val="0"/>
      <w:marBottom w:val="0"/>
      <w:divBdr>
        <w:top w:val="none" w:sz="0" w:space="0" w:color="auto"/>
        <w:left w:val="none" w:sz="0" w:space="0" w:color="auto"/>
        <w:bottom w:val="none" w:sz="0" w:space="0" w:color="auto"/>
        <w:right w:val="none" w:sz="0" w:space="0" w:color="auto"/>
      </w:divBdr>
    </w:div>
    <w:div w:id="2005737087">
      <w:bodyDiv w:val="1"/>
      <w:marLeft w:val="0"/>
      <w:marRight w:val="0"/>
      <w:marTop w:val="0"/>
      <w:marBottom w:val="0"/>
      <w:divBdr>
        <w:top w:val="none" w:sz="0" w:space="0" w:color="auto"/>
        <w:left w:val="none" w:sz="0" w:space="0" w:color="auto"/>
        <w:bottom w:val="none" w:sz="0" w:space="0" w:color="auto"/>
        <w:right w:val="none" w:sz="0" w:space="0" w:color="auto"/>
      </w:divBdr>
      <w:divsChild>
        <w:div w:id="1533835032">
          <w:marLeft w:val="0"/>
          <w:marRight w:val="0"/>
          <w:marTop w:val="0"/>
          <w:marBottom w:val="0"/>
          <w:divBdr>
            <w:top w:val="none" w:sz="0" w:space="0" w:color="auto"/>
            <w:left w:val="none" w:sz="0" w:space="0" w:color="auto"/>
            <w:bottom w:val="none" w:sz="0" w:space="0" w:color="auto"/>
            <w:right w:val="none" w:sz="0" w:space="0" w:color="auto"/>
          </w:divBdr>
          <w:divsChild>
            <w:div w:id="1027222483">
              <w:marLeft w:val="0"/>
              <w:marRight w:val="0"/>
              <w:marTop w:val="0"/>
              <w:marBottom w:val="0"/>
              <w:divBdr>
                <w:top w:val="none" w:sz="0" w:space="0" w:color="auto"/>
                <w:left w:val="none" w:sz="0" w:space="0" w:color="auto"/>
                <w:bottom w:val="none" w:sz="0" w:space="0" w:color="auto"/>
                <w:right w:val="none" w:sz="0" w:space="0" w:color="auto"/>
              </w:divBdr>
              <w:divsChild>
                <w:div w:id="827287457">
                  <w:marLeft w:val="0"/>
                  <w:marRight w:val="0"/>
                  <w:marTop w:val="0"/>
                  <w:marBottom w:val="0"/>
                  <w:divBdr>
                    <w:top w:val="none" w:sz="0" w:space="0" w:color="auto"/>
                    <w:left w:val="none" w:sz="0" w:space="0" w:color="auto"/>
                    <w:bottom w:val="none" w:sz="0" w:space="0" w:color="auto"/>
                    <w:right w:val="none" w:sz="0" w:space="0" w:color="auto"/>
                  </w:divBdr>
                  <w:divsChild>
                    <w:div w:id="202326272">
                      <w:marLeft w:val="0"/>
                      <w:marRight w:val="0"/>
                      <w:marTop w:val="0"/>
                      <w:marBottom w:val="0"/>
                      <w:divBdr>
                        <w:top w:val="none" w:sz="0" w:space="0" w:color="auto"/>
                        <w:left w:val="none" w:sz="0" w:space="0" w:color="auto"/>
                        <w:bottom w:val="none" w:sz="0" w:space="0" w:color="auto"/>
                        <w:right w:val="none" w:sz="0" w:space="0" w:color="auto"/>
                      </w:divBdr>
                      <w:divsChild>
                        <w:div w:id="1800952692">
                          <w:marLeft w:val="0"/>
                          <w:marRight w:val="0"/>
                          <w:marTop w:val="0"/>
                          <w:marBottom w:val="0"/>
                          <w:divBdr>
                            <w:top w:val="none" w:sz="0" w:space="0" w:color="auto"/>
                            <w:left w:val="none" w:sz="0" w:space="0" w:color="auto"/>
                            <w:bottom w:val="none" w:sz="0" w:space="0" w:color="auto"/>
                            <w:right w:val="none" w:sz="0" w:space="0" w:color="auto"/>
                          </w:divBdr>
                          <w:divsChild>
                            <w:div w:id="19735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6B80B1F0A284C98B8351885DD4140" ma:contentTypeVersion="5" ma:contentTypeDescription="Create a new document." ma:contentTypeScope="" ma:versionID="577ed054d94b2675fa64cc120dbe8d30">
  <xsd:schema xmlns:xsd="http://www.w3.org/2001/XMLSchema" xmlns:xs="http://www.w3.org/2001/XMLSchema" xmlns:p="http://schemas.microsoft.com/office/2006/metadata/properties" xmlns:ns3="d05d8740-ea7d-4238-a601-2b961f7cf806" xmlns:ns4="ebedb8d5-4fae-47d6-b5b7-67db491010a0" targetNamespace="http://schemas.microsoft.com/office/2006/metadata/properties" ma:root="true" ma:fieldsID="b1168374b0b21c714bb43d00bfb9a119" ns3:_="" ns4:_="">
    <xsd:import namespace="d05d8740-ea7d-4238-a601-2b961f7cf806"/>
    <xsd:import namespace="ebedb8d5-4fae-47d6-b5b7-67db49101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d8740-ea7d-4238-a601-2b961f7cf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db8d5-4fae-47d6-b5b7-67db49101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BFE4F-F6B6-4E38-B305-505C1BB49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21CFC-B297-4EC9-9A01-92C03C2E1C31}">
  <ds:schemaRefs>
    <ds:schemaRef ds:uri="http://schemas.microsoft.com/sharepoint/v3/contenttype/forms"/>
  </ds:schemaRefs>
</ds:datastoreItem>
</file>

<file path=customXml/itemProps3.xml><?xml version="1.0" encoding="utf-8"?>
<ds:datastoreItem xmlns:ds="http://schemas.openxmlformats.org/officeDocument/2006/customXml" ds:itemID="{0B342DDF-9693-4224-903E-D86F754E9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d8740-ea7d-4238-a601-2b961f7cf806"/>
    <ds:schemaRef ds:uri="ebedb8d5-4fae-47d6-b5b7-67db4910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1820</Words>
  <Characters>10375</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DfE external document template</vt:lpstr>
      <vt:lpstr>Pupil premium strategy statement</vt:lpstr>
      <vt:lpstr>    School overview</vt:lpstr>
      <vt:lpstr>Part A: Pupil premium strategy plan</vt:lpstr>
      <vt:lpstr>    Statement of intent</vt:lpstr>
      <vt:lpstr>    Challenges</vt:lpstr>
      <vt:lpstr>This details the key challenges to achievement that we have identified among our</vt:lpstr>
      <vt:lpstr>    Intended outcomes </vt:lpstr>
      <vt:lpstr>    </vt:lpstr>
      <vt:lpstr>    Activity in this academic year</vt:lpstr>
      <vt:lpstr>        Teaching (for example, CPD, recruitment and retention)</vt:lpstr>
      <vt:lpstr>    </vt:lpstr>
      <vt:lpstr>Part B: Review of outcomes in the previous academic year</vt:lpstr>
      <vt:lpstr>    Pupil premium strategy outcomes</vt:lpstr>
      <vt:lpstr>    Externally provided programmes</vt:lpstr>
      <vt:lpstr>Further information (optional)</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Andrew Wilks</cp:lastModifiedBy>
  <cp:revision>3</cp:revision>
  <cp:lastPrinted>2022-07-15T11:51:00Z</cp:lastPrinted>
  <dcterms:created xsi:type="dcterms:W3CDTF">2025-01-10T10:29:00Z</dcterms:created>
  <dcterms:modified xsi:type="dcterms:W3CDTF">2025-03-06T21:17:00Z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0x010100C6A6B80B1F0A284C98B8351885DD4140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